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jc w:val="center"/>
        <w:rPr>
          <w:rFonts w:ascii="Times New Roman" w:hAnsi="Times New Roman" w:cs="Times New Roman"/>
          <w:b/>
          <w:bCs/>
        </w:rPr>
      </w:pPr>
      <w:r>
        <w:rPr>
          <w:rFonts w:cs="Times New Roman" w:ascii="Times New Roman" w:hAnsi="Times New Roman"/>
          <w:b/>
          <w:bCs/>
        </w:rPr>
        <w:t>ANEXO I DO EDITAL</w:t>
      </w:r>
    </w:p>
    <w:p>
      <w:pPr>
        <w:pStyle w:val="Standard"/>
        <w:jc w:val="center"/>
        <w:rPr/>
      </w:pPr>
      <w:r>
        <w:rPr>
          <w:rFonts w:cs="Times New Roman" w:ascii="Times New Roman" w:hAnsi="Times New Roman"/>
          <w:b/>
          <w:bCs/>
        </w:rPr>
        <w:t xml:space="preserve"> </w:t>
      </w:r>
      <w:r>
        <w:rPr>
          <w:rFonts w:cs="Times New Roman" w:ascii="Times New Roman" w:hAnsi="Times New Roman"/>
          <w:b/>
          <w:bCs/>
        </w:rPr>
        <w:t>TERMO DE REFERÊNCIA</w:t>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keepLines/>
        <w:numPr>
          <w:ilvl w:val="0"/>
          <w:numId w:val="13"/>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rPr>
          <w:rFonts w:ascii="Times New Roman" w:hAnsi="Times New Roman" w:cs="Times New Roman"/>
          <w:b/>
          <w:bCs/>
          <w:color w:val="00000A"/>
        </w:rPr>
      </w:pPr>
      <w:r>
        <w:rPr>
          <w:rFonts w:cs="Times New Roman" w:ascii="Times New Roman" w:hAnsi="Times New Roman"/>
          <w:b/>
          <w:bCs/>
          <w:color w:val="00000A"/>
        </w:rPr>
        <w:t>1. DAS CONDIÇÕES GERAIS DA CONTRATAÇÃO</w:t>
      </w:r>
    </w:p>
    <w:p>
      <w:pPr>
        <w:pStyle w:val="Standard"/>
        <w:numPr>
          <w:ilvl w:val="0"/>
          <w:numId w:val="14"/>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rPr>
          <w:rFonts w:ascii="Times New Roman" w:hAnsi="Times New Roman" w:cs="Times New Roman"/>
          <w:b/>
          <w:bCs/>
          <w:color w:val="00000A"/>
        </w:rPr>
      </w:pPr>
      <w:r>
        <w:rPr>
          <w:rFonts w:cs="Times New Roman" w:ascii="Times New Roman" w:hAnsi="Times New Roman"/>
          <w:b/>
          <w:bCs/>
          <w:color w:val="00000A"/>
        </w:rPr>
      </w:r>
    </w:p>
    <w:p>
      <w:pPr>
        <w:pStyle w:val="Standard"/>
        <w:jc w:val="both"/>
        <w:rPr>
          <w:rFonts w:ascii="Times New Roman" w:hAnsi="Times New Roman" w:cs="Times New Roman"/>
          <w:b/>
        </w:rPr>
      </w:pPr>
      <w:r>
        <w:rPr>
          <w:rFonts w:cs="Times New Roman" w:ascii="Times New Roman" w:hAnsi="Times New Roman"/>
          <w:b/>
        </w:rPr>
        <w:t>1.1. DO OBJETO</w:t>
      </w:r>
    </w:p>
    <w:p>
      <w:pPr>
        <w:pStyle w:val="Standard"/>
        <w:jc w:val="both"/>
        <w:rPr>
          <w:rFonts w:ascii="Times New Roman" w:hAnsi="Times New Roman" w:cs="Times New Roman"/>
          <w:b/>
        </w:rPr>
      </w:pPr>
      <w:r>
        <w:rPr>
          <w:rFonts w:cs="Times New Roman" w:ascii="Times New Roman" w:hAnsi="Times New Roman"/>
          <w:b/>
        </w:rPr>
      </w:r>
    </w:p>
    <w:p>
      <w:pPr>
        <w:pStyle w:val="Standard"/>
        <w:ind w:left="283"/>
        <w:jc w:val="both"/>
        <w:rPr/>
      </w:pPr>
      <w:r>
        <w:rPr>
          <w:rFonts w:cs="Times New Roman" w:ascii="Times New Roman" w:hAnsi="Times New Roman"/>
          <w:b/>
        </w:rPr>
        <w:t xml:space="preserve">1.1.1. </w:t>
      </w:r>
      <w:r>
        <w:rPr>
          <w:rFonts w:cs="Times New Roman" w:ascii="Times New Roman" w:hAnsi="Times New Roman"/>
        </w:rPr>
        <w:t xml:space="preserve">O objeto da presente licitação é a concessão dos serviços funerários </w:t>
      </w:r>
      <w:r>
        <w:rPr>
          <w:rFonts w:eastAsia="Times New Roman" w:cs="Times New Roman" w:ascii="Times New Roman" w:hAnsi="Times New Roman"/>
          <w:lang w:bidi="ar-SA"/>
        </w:rPr>
        <w:t>para até quatro empresas</w:t>
      </w:r>
      <w:r>
        <w:rPr>
          <w:rFonts w:cs="Times New Roman" w:ascii="Times New Roman" w:hAnsi="Times New Roman"/>
        </w:rPr>
        <w:t xml:space="preserve"> interessadas que cumpram as condições e exigências estabelecidas neste TERMO DE REFERÊNCIA, no território do Município de Caxias do Sul, mediante o pagamento de outorga onerosa fixa </w:t>
      </w:r>
      <w:bookmarkStart w:id="0" w:name="_Hlk192494698"/>
      <w:r>
        <w:rPr>
          <w:rFonts w:cs="Times New Roman" w:ascii="Times New Roman" w:hAnsi="Times New Roman"/>
        </w:rPr>
        <w:t>e a contraprestação gratuita dos serviços funerários, para os casos previstos na Lei.</w:t>
      </w:r>
      <w:bookmarkEnd w:id="0"/>
    </w:p>
    <w:p>
      <w:pPr>
        <w:pStyle w:val="Standard"/>
        <w:ind w:left="283"/>
        <w:jc w:val="both"/>
        <w:rPr>
          <w:rFonts w:ascii="Times New Roman" w:hAnsi="Times New Roman" w:cs="Times New Roman"/>
          <w:color w:val="00000A"/>
        </w:rPr>
      </w:pPr>
      <w:r>
        <w:rPr>
          <w:rFonts w:cs="Times New Roman" w:ascii="Times New Roman" w:hAnsi="Times New Roman"/>
          <w:color w:val="00000A"/>
        </w:rPr>
      </w:r>
    </w:p>
    <w:p>
      <w:pPr>
        <w:pStyle w:val="Default"/>
        <w:ind w:left="283"/>
        <w:jc w:val="both"/>
        <w:rPr/>
      </w:pPr>
      <w:r>
        <w:rPr>
          <w:b/>
          <w:bCs/>
          <w:color w:val="auto"/>
        </w:rPr>
        <w:t xml:space="preserve">1.1.2. </w:t>
      </w:r>
      <w:r>
        <w:rPr>
          <w:color w:val="auto"/>
        </w:rPr>
        <w:t xml:space="preserve">O serviço funerário, no âmbito do Município de Caxias do Sul, de caráter público e essencial, é regido pela Lei Complementar n.º 670, de 16 de dezembro de 2021, e regulamentado pelo </w:t>
      </w:r>
      <w:r>
        <w:rPr>
          <w:kern w:val="0"/>
        </w:rPr>
        <w:t>Decreto Municipal n.º 24.134, de 19 de março de 2026</w:t>
      </w:r>
      <w:r>
        <w:rPr>
          <w:color w:val="auto"/>
        </w:rPr>
        <w:t xml:space="preserve">, que fazem parte deste instrumento, independente de transcrição. Ainda, </w:t>
      </w:r>
      <w:r>
        <w:rPr>
          <w:bCs/>
          <w:color w:val="auto"/>
        </w:rPr>
        <w:t>a(s) CONCESSIONÁRIA(s)</w:t>
      </w:r>
      <w:r>
        <w:rPr>
          <w:bCs/>
          <w:color w:val="CE181E"/>
        </w:rPr>
        <w:t xml:space="preserve"> </w:t>
      </w:r>
      <w:r>
        <w:rPr>
          <w:bCs/>
          <w:color w:val="auto"/>
        </w:rPr>
        <w:t>está(ão)</w:t>
      </w:r>
      <w:r>
        <w:rPr>
          <w:bCs/>
          <w:color w:val="CE181E"/>
        </w:rPr>
        <w:t xml:space="preserve"> </w:t>
      </w:r>
      <w:r>
        <w:rPr>
          <w:bCs/>
          <w:color w:val="auto"/>
        </w:rPr>
        <w:t>sujeita(s) a todas as Leis incidentes e regulamentos Municipal, Estadual e Federal e todas as normas e regulamentos.</w:t>
      </w:r>
    </w:p>
    <w:p>
      <w:pPr>
        <w:pStyle w:val="Default"/>
        <w:ind w:left="283"/>
        <w:jc w:val="both"/>
        <w:rPr>
          <w:b/>
          <w:bCs/>
          <w:color w:val="auto"/>
          <w:shd w:fill="AFD095" w:val="clear"/>
        </w:rPr>
      </w:pPr>
      <w:r>
        <w:rPr>
          <w:b/>
          <w:bCs/>
          <w:color w:val="000000"/>
          <w:shd w:fill="AFD095" w:val="clear"/>
        </w:rPr>
      </w:r>
    </w:p>
    <w:p>
      <w:pPr>
        <w:pStyle w:val="Default"/>
        <w:ind w:left="283"/>
        <w:jc w:val="both"/>
        <w:rPr/>
      </w:pPr>
      <w:r>
        <w:rPr>
          <w:b/>
          <w:bCs/>
          <w:color w:val="auto"/>
        </w:rPr>
        <w:t xml:space="preserve">1.1.3. </w:t>
      </w:r>
      <w:r>
        <w:rPr>
          <w:color w:val="auto"/>
        </w:rPr>
        <w:t>O serviço funerário compreende a comercialização de urnas funerárias, aluguel de capelas velatórias, organização de velórios, preparação e transporte de cadáveres até o local de sepultamento ou cremação, dentro dos limites do Município, conforme o disposto no artigo 2º da Lei Complementar n.º 670, de 16 de dezembro de 2021.</w:t>
      </w:r>
    </w:p>
    <w:p>
      <w:pPr>
        <w:pStyle w:val="Standard"/>
        <w:ind w:left="283"/>
        <w:jc w:val="both"/>
        <w:rPr>
          <w:rFonts w:ascii="Times New Roman" w:hAnsi="Times New Roman" w:cs="Times New Roman"/>
          <w:b/>
          <w:bCs/>
        </w:rPr>
      </w:pPr>
      <w:r>
        <w:rPr>
          <w:rFonts w:cs="Times New Roman" w:ascii="Times New Roman" w:hAnsi="Times New Roman"/>
          <w:b/>
          <w:bCs/>
        </w:rPr>
      </w:r>
    </w:p>
    <w:p>
      <w:pPr>
        <w:pStyle w:val="Standard"/>
        <w:ind w:left="283"/>
        <w:jc w:val="both"/>
        <w:rPr/>
      </w:pPr>
      <w:r>
        <w:rPr>
          <w:rFonts w:cs="Times New Roman" w:ascii="Times New Roman" w:hAnsi="Times New Roman"/>
          <w:b/>
          <w:bCs/>
        </w:rPr>
        <w:t xml:space="preserve">1.1.4. </w:t>
      </w:r>
      <w:r>
        <w:rPr>
          <w:rFonts w:cs="Times New Roman" w:ascii="Times New Roman" w:hAnsi="Times New Roman"/>
        </w:rPr>
        <w:t>O Estudo Técnico Preliminar é um documento preparatório ao TERMO DE REFERÊNCIA, sendo que na ocorrência de alguma divergência entre ambos, prevalecerá o disposto neste TERMO DE REFERÊNCIA.</w:t>
      </w:r>
    </w:p>
    <w:p>
      <w:pPr>
        <w:pStyle w:val="Standard"/>
        <w:jc w:val="both"/>
        <w:rPr>
          <w:rFonts w:ascii="Times New Roman" w:hAnsi="Times New Roman" w:cs="Times New Roman"/>
        </w:rPr>
      </w:pPr>
      <w:r>
        <w:rPr>
          <w:rFonts w:cs="Times New Roman" w:ascii="Times New Roman" w:hAnsi="Times New Roman"/>
        </w:rPr>
      </w:r>
    </w:p>
    <w:p>
      <w:pPr>
        <w:pStyle w:val="Standard"/>
        <w:widowControl/>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textAlignment w:val="top"/>
        <w:rPr>
          <w:rFonts w:ascii="Times New Roman" w:hAnsi="Times New Roman" w:cs="Times New Roman"/>
          <w:b/>
          <w:bCs/>
          <w:color w:val="00000A"/>
        </w:rPr>
      </w:pPr>
      <w:r>
        <w:rPr>
          <w:rFonts w:cs="Times New Roman" w:ascii="Times New Roman" w:hAnsi="Times New Roman"/>
          <w:b/>
          <w:bCs/>
          <w:color w:val="00000A"/>
        </w:rPr>
        <w:t>1.2. DA VIGÊNCIA DA CONTRATAÇÃO</w:t>
      </w:r>
    </w:p>
    <w:p>
      <w:pPr>
        <w:pStyle w:val="Standard"/>
        <w:widowControl/>
        <w:numPr>
          <w:ilvl w:val="0"/>
          <w:numId w:val="15"/>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numPr>
          <w:ilvl w:val="0"/>
          <w:numId w:val="16"/>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textAlignment w:val="top"/>
        <w:rPr/>
      </w:pPr>
      <w:r>
        <w:rPr>
          <w:rFonts w:eastAsia="Arial, sans-serif" w:cs="Times New Roman" w:ascii="Times New Roman" w:hAnsi="Times New Roman"/>
          <w:b/>
          <w:bCs/>
          <w:lang w:bidi="ar-SA"/>
        </w:rPr>
        <w:t>1.2.1.</w:t>
      </w:r>
      <w:r>
        <w:rPr>
          <w:rFonts w:eastAsia="Arial, sans-serif" w:cs="Times New Roman" w:ascii="Times New Roman" w:hAnsi="Times New Roman"/>
          <w:lang w:bidi="ar-SA"/>
        </w:rPr>
        <w:t xml:space="preserve"> A concessão vigerá por </w:t>
      </w:r>
      <w:r>
        <w:rPr>
          <w:rFonts w:eastAsia="Arial, sans-serif" w:cs="Times New Roman" w:ascii="Times New Roman" w:hAnsi="Times New Roman"/>
          <w:b/>
          <w:bCs/>
          <w:lang w:bidi="ar-SA"/>
        </w:rPr>
        <w:t>10 (dez) anos,</w:t>
      </w:r>
      <w:r>
        <w:rPr>
          <w:rFonts w:eastAsia="Arial, sans-serif" w:cs="Times New Roman" w:ascii="Times New Roman" w:hAnsi="Times New Roman"/>
          <w:lang w:bidi="ar-SA"/>
        </w:rPr>
        <w:t xml:space="preserve"> contado(s) da data do </w:t>
      </w:r>
      <w:r>
        <w:rPr>
          <w:rFonts w:eastAsia="Arial, sans-serif" w:cs="Times New Roman" w:ascii="Times New Roman" w:hAnsi="Times New Roman"/>
          <w:b/>
          <w:bCs/>
          <w:lang w:bidi="ar-SA"/>
        </w:rPr>
        <w:t>TERMOA DEFINITIVO DE ACEITAÇÃO</w:t>
      </w:r>
      <w:r>
        <w:rPr>
          <w:rFonts w:eastAsia="Arial, sans-serif" w:cs="Times New Roman" w:ascii="Times New Roman" w:hAnsi="Times New Roman"/>
          <w:lang w:bidi="ar-SA"/>
        </w:rPr>
        <w:t xml:space="preserve">, </w:t>
      </w:r>
      <w:r>
        <w:rPr>
          <w:rFonts w:eastAsia="Arial, sans-serif" w:cs="Times New Roman" w:ascii="Times New Roman" w:hAnsi="Times New Roman"/>
          <w:b/>
          <w:bCs/>
          <w:lang w:bidi="ar-SA"/>
        </w:rPr>
        <w:t>prorrogável por até 10 (dez) anos</w:t>
      </w:r>
      <w:r>
        <w:rPr>
          <w:rFonts w:eastAsia="Arial, sans-serif" w:cs="Times New Roman" w:ascii="Times New Roman" w:hAnsi="Times New Roman"/>
          <w:lang w:bidi="ar-SA"/>
        </w:rPr>
        <w:t>, na forma do artigo 12 da Lei Complementar n.º 670, de 16 de dezembro de 2021.</w:t>
      </w:r>
    </w:p>
    <w:p>
      <w:pPr>
        <w:pStyle w:val="Standard"/>
        <w:widowControl/>
        <w:numPr>
          <w:ilvl w:val="0"/>
          <w:numId w:val="17"/>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textAlignment w:val="top"/>
        <w:rPr/>
      </w:pPr>
      <w:r>
        <w:rPr/>
      </w:r>
    </w:p>
    <w:p>
      <w:pPr>
        <w:pStyle w:val="Standard"/>
        <w:widowControl/>
        <w:numPr>
          <w:ilvl w:val="0"/>
          <w:numId w:val="18"/>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567"/>
        <w:jc w:val="both"/>
        <w:textAlignment w:val="top"/>
        <w:rPr/>
      </w:pPr>
      <w:r>
        <w:rPr>
          <w:rFonts w:eastAsia="Arial, sans-serif" w:cs="Times New Roman" w:ascii="Times New Roman" w:hAnsi="Times New Roman"/>
          <w:b/>
          <w:bCs/>
          <w:lang w:bidi="ar-SA"/>
        </w:rPr>
        <w:t xml:space="preserve">1.2.1.1. </w:t>
      </w:r>
      <w:r>
        <w:rPr>
          <w:rFonts w:cs="Times New Roman" w:ascii="Times New Roman" w:hAnsi="Times New Roman"/>
        </w:rPr>
        <w:t>A DATA DE EFICÁCIA será a data da publicação da ORDEM DE INÍCIO, no DOE, nos termos do contrato e autoriza o início das intervenções na concessão.</w:t>
      </w:r>
    </w:p>
    <w:p>
      <w:pPr>
        <w:pStyle w:val="ListParagraph"/>
        <w:rPr/>
      </w:pPr>
      <w:r>
        <w:rPr/>
      </w:r>
    </w:p>
    <w:p>
      <w:pPr>
        <w:pStyle w:val="Standard"/>
        <w:widowControl/>
        <w:numPr>
          <w:ilvl w:val="0"/>
          <w:numId w:val="19"/>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567"/>
        <w:jc w:val="both"/>
        <w:textAlignment w:val="top"/>
        <w:rPr/>
      </w:pPr>
      <w:r>
        <w:rPr>
          <w:rFonts w:eastAsia="Arial, sans-serif" w:cs="Times New Roman" w:ascii="Times New Roman" w:hAnsi="Times New Roman"/>
          <w:b/>
          <w:bCs/>
          <w:lang w:bidi="ar-SA"/>
        </w:rPr>
        <w:t xml:space="preserve">1.2.1.2. </w:t>
      </w:r>
      <w:r>
        <w:rPr>
          <w:rFonts w:eastAsia="Arial, sans-serif" w:cs="Times New Roman" w:ascii="Times New Roman" w:hAnsi="Times New Roman"/>
          <w:bCs/>
          <w:lang w:bidi="ar-SA"/>
        </w:rPr>
        <w:t>O TERMO DE ACEITAÇÃO DEFINITIVO autoriza o início dos serviços funerários, isto é, a própria operação da concessão.</w:t>
      </w:r>
    </w:p>
    <w:p>
      <w:pPr>
        <w:pStyle w:val="ListParagraph"/>
        <w:rPr/>
      </w:pPr>
      <w:r>
        <w:rPr/>
      </w:r>
    </w:p>
    <w:p>
      <w:pPr>
        <w:pStyle w:val="Standard"/>
        <w:widowControl/>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rFonts w:ascii="Times New Roman" w:hAnsi="Times New Roman" w:cs="Times New Roman"/>
        </w:rPr>
      </w:pPr>
      <w:r>
        <w:rPr>
          <w:rFonts w:eastAsia="Arial, sans-serif" w:cs="Times New Roman" w:ascii="Times New Roman" w:hAnsi="Times New Roman"/>
          <w:b/>
          <w:bCs/>
          <w:lang w:bidi="ar-SA"/>
        </w:rPr>
        <w:t xml:space="preserve">1.2.1.3. </w:t>
      </w:r>
      <w:r>
        <w:rPr>
          <w:rFonts w:cs="Times New Roman" w:ascii="Times New Roman" w:hAnsi="Times New Roman"/>
        </w:rPr>
        <w:t>A prorrogação de que trata este item é condicionada ao cumprimento pela</w:t>
      </w:r>
      <w:r>
        <w:rPr>
          <w:rFonts w:eastAsia="Times New Roman" w:cs="Times New Roman" w:ascii="Times New Roman" w:hAnsi="Times New Roman"/>
          <w:lang w:bidi="ar-SA"/>
        </w:rPr>
        <w:t>(s)</w:t>
      </w:r>
      <w:r>
        <w:rPr>
          <w:rFonts w:cs="Times New Roman" w:ascii="Times New Roman" w:hAnsi="Times New Roman"/>
        </w:rPr>
        <w:t xml:space="preserve"> CONCESSIONÁRIA</w:t>
      </w:r>
      <w:r>
        <w:rPr>
          <w:rFonts w:eastAsia="Times New Roman" w:cs="Times New Roman" w:ascii="Times New Roman" w:hAnsi="Times New Roman"/>
          <w:lang w:bidi="ar-SA"/>
        </w:rPr>
        <w:t>(s)</w:t>
      </w:r>
      <w:r>
        <w:rPr>
          <w:rFonts w:cs="Times New Roman" w:ascii="Times New Roman" w:hAnsi="Times New Roman"/>
        </w:rPr>
        <w:t xml:space="preserve">, durante a vigência da concessão, das disposições contidas </w:t>
      </w:r>
      <w:r>
        <w:rPr>
          <w:rFonts w:eastAsia="Arial, sans-serif" w:cs="Times New Roman" w:ascii="Times New Roman" w:hAnsi="Times New Roman"/>
          <w:lang w:bidi="ar-SA"/>
        </w:rPr>
        <w:t>na Lei Complementar n.º 670, de 16 de dezembro de 2021</w:t>
      </w:r>
      <w:r>
        <w:rPr>
          <w:rFonts w:cs="Times New Roman" w:ascii="Times New Roman" w:hAnsi="Times New Roman"/>
        </w:rPr>
        <w:t>, nos regulamentos e no respectivo contrato.</w:t>
      </w:r>
    </w:p>
    <w:p>
      <w:pPr>
        <w:pStyle w:val="Standard"/>
        <w:widowControl/>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rFonts w:ascii="Times New Roman" w:hAnsi="Times New Roman" w:cs="Times New Roman"/>
        </w:rPr>
      </w:pPr>
      <w:r>
        <w:rPr>
          <w:rFonts w:eastAsia="Arial, sans-serif" w:cs="Times New Roman" w:ascii="Times New Roman" w:hAnsi="Times New Roman"/>
          <w:b/>
          <w:bCs/>
          <w:lang w:bidi="ar-SA"/>
        </w:rPr>
        <w:t xml:space="preserve">1.2.1.4. </w:t>
      </w:r>
      <w:r>
        <w:rPr>
          <w:rFonts w:eastAsia="Arial, sans-serif" w:cs="Times New Roman" w:ascii="Times New Roman" w:hAnsi="Times New Roman"/>
          <w:bCs/>
          <w:lang w:bidi="ar-SA"/>
        </w:rPr>
        <w:t>Ev</w:t>
      </w:r>
      <w:r>
        <w:rPr>
          <w:rFonts w:cs="Times New Roman" w:ascii="Times New Roman" w:hAnsi="Times New Roman"/>
        </w:rPr>
        <w:t>entual extensão do prazo da CONCESSÃO como medida para a recomposição do equilíbrio econômico-financeiro do CONTRATO não será considerada prorrogação.</w:t>
      </w:r>
    </w:p>
    <w:p>
      <w:pPr>
        <w:pStyle w:val="Standard"/>
        <w:widowControl/>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rFonts w:ascii="Times New Roman" w:hAnsi="Times New Roman" w:cs="Times New Roman"/>
        </w:rPr>
      </w:pPr>
      <w:r>
        <w:rPr>
          <w:rFonts w:cs="Times New Roman" w:ascii="Times New Roman" w:hAnsi="Times New Roman"/>
        </w:rPr>
      </w:r>
    </w:p>
    <w:p>
      <w:pPr>
        <w:pStyle w:val="Default"/>
        <w:jc w:val="both"/>
        <w:rPr/>
      </w:pPr>
      <w:r>
        <w:rPr>
          <w:b/>
          <w:bCs/>
          <w:color w:val="00000A"/>
        </w:rPr>
        <w:t>2. DA FUNDAMENTAÇÃO E DESCRIÇÃO DA NECESSIDADE DA CONTRATAÇÃO</w:t>
      </w:r>
    </w:p>
    <w:p>
      <w:pPr>
        <w:pStyle w:val="Default"/>
        <w:jc w:val="both"/>
        <w:rPr>
          <w:b/>
          <w:bCs/>
          <w:color w:val="00000A"/>
        </w:rPr>
      </w:pPr>
      <w:r>
        <w:rPr>
          <w:b/>
          <w:bCs/>
          <w:color w:val="00000A"/>
        </w:rPr>
      </w:r>
    </w:p>
    <w:p>
      <w:pPr>
        <w:pStyle w:val="Nivel2"/>
        <w:widowControl/>
        <w:numPr>
          <w:ilvl w:val="1"/>
          <w:numId w:val="20"/>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spacing w:lineRule="auto" w:line="240" w:before="0" w:after="0"/>
        <w:textAlignment w:val="top"/>
        <w:rPr/>
      </w:pPr>
      <w:r>
        <w:rPr>
          <w:rFonts w:eastAsia="Times New Roman" w:cs="Times New Roman" w:ascii="Times New Roman" w:hAnsi="Times New Roman"/>
          <w:b/>
          <w:bCs/>
          <w:color w:val="auto"/>
          <w:sz w:val="24"/>
          <w:szCs w:val="24"/>
          <w:lang w:eastAsia="pt-BR"/>
        </w:rPr>
        <w:t>2.1.</w:t>
      </w:r>
      <w:r>
        <w:rPr>
          <w:rFonts w:eastAsia="Times New Roman" w:cs="Times New Roman" w:ascii="Times New Roman" w:hAnsi="Times New Roman"/>
          <w:color w:val="auto"/>
          <w:sz w:val="24"/>
          <w:szCs w:val="24"/>
          <w:lang w:eastAsia="pt-BR"/>
        </w:rPr>
        <w:t xml:space="preserve"> A fundamentação e a descrição da necessidade da contratação encontram-se pormenorizadas em tópicos específicos do Estudo Técnico Preliminar, apêndice deste TERMO DE REFERÊNCIA.</w:t>
      </w:r>
    </w:p>
    <w:p>
      <w:pPr>
        <w:pStyle w:val="Default"/>
        <w:jc w:val="both"/>
        <w:rPr>
          <w:color w:val="auto"/>
        </w:rPr>
      </w:pPr>
      <w:r>
        <w:rPr>
          <w:color w:val="auto"/>
        </w:rPr>
      </w:r>
    </w:p>
    <w:p>
      <w:pPr>
        <w:pStyle w:val="Default"/>
        <w:jc w:val="both"/>
        <w:rPr/>
      </w:pPr>
      <w:r>
        <w:rPr>
          <w:b/>
          <w:bCs/>
          <w:color w:val="auto"/>
        </w:rPr>
        <w:t>3. DOS REQUISITOS DA CONTRATAÇÃO</w:t>
      </w:r>
    </w:p>
    <w:p>
      <w:pPr>
        <w:pStyle w:val="Default"/>
        <w:jc w:val="both"/>
        <w:rPr>
          <w:b/>
          <w:bCs/>
          <w:color w:val="auto"/>
        </w:rPr>
      </w:pPr>
      <w:r>
        <w:rPr>
          <w:b/>
          <w:bCs/>
          <w:color w:val="auto"/>
        </w:rPr>
      </w:r>
    </w:p>
    <w:p>
      <w:pPr>
        <w:pStyle w:val="Standard"/>
        <w:jc w:val="both"/>
        <w:textAlignment w:val="top"/>
        <w:rPr/>
      </w:pPr>
      <w:r>
        <w:rPr>
          <w:rFonts w:cs="Times New Roman" w:ascii="Times New Roman" w:hAnsi="Times New Roman"/>
          <w:b/>
          <w:bCs/>
        </w:rPr>
        <w:t xml:space="preserve">3.1. </w:t>
      </w:r>
      <w:r>
        <w:rPr>
          <w:rFonts w:cs="Times New Roman" w:ascii="Times New Roman" w:hAnsi="Times New Roman"/>
        </w:rPr>
        <w:t>Os requisitos da contratação encontram-se pormenorizados em tópico específico do Estudo Técnico Preliminar, apêndice deste TERMO DE REFERÊNCIA.</w:t>
      </w:r>
    </w:p>
    <w:p>
      <w:pPr>
        <w:pStyle w:val="Standard"/>
        <w:jc w:val="both"/>
        <w:textAlignment w:val="top"/>
        <w:rPr>
          <w:rFonts w:ascii="Times New Roman" w:hAnsi="Times New Roman" w:cs="Times New Roman"/>
        </w:rPr>
      </w:pPr>
      <w:r>
        <w:rPr>
          <w:rFonts w:cs="Times New Roman" w:ascii="Times New Roman" w:hAnsi="Times New Roman"/>
        </w:rPr>
      </w:r>
    </w:p>
    <w:p>
      <w:pPr>
        <w:pStyle w:val="Standard"/>
        <w:rPr/>
      </w:pPr>
      <w:r>
        <w:rPr>
          <w:rFonts w:eastAsia="Times New Roman" w:cs="Times New Roman" w:ascii="Times New Roman" w:hAnsi="Times New Roman"/>
          <w:b/>
          <w:bCs/>
          <w:lang w:bidi="ar-SA"/>
        </w:rPr>
        <w:t>4. DO MODELO DE EXECUÇÃO DO OBJETO</w:t>
      </w:r>
    </w:p>
    <w:p>
      <w:pPr>
        <w:pStyle w:val="Default"/>
        <w:jc w:val="both"/>
        <w:rPr>
          <w:b/>
          <w:color w:val="auto"/>
        </w:rPr>
      </w:pPr>
      <w:r>
        <w:rPr>
          <w:b/>
          <w:color w:val="auto"/>
        </w:rPr>
      </w:r>
    </w:p>
    <w:p>
      <w:pPr>
        <w:pStyle w:val="Standard"/>
        <w:numPr>
          <w:ilvl w:val="0"/>
          <w:numId w:val="21"/>
        </w:numPr>
        <w:ind w:left="283"/>
        <w:jc w:val="both"/>
        <w:rPr/>
      </w:pPr>
      <w:r>
        <w:rPr>
          <w:rFonts w:cs="Times New Roman" w:ascii="Times New Roman" w:hAnsi="Times New Roman"/>
          <w:b/>
          <w:bCs/>
        </w:rPr>
        <w:t>4.1. Das c</w:t>
      </w:r>
      <w:r>
        <w:rPr>
          <w:rFonts w:cs="Times New Roman" w:ascii="Times New Roman" w:hAnsi="Times New Roman"/>
          <w:b/>
          <w:bCs/>
          <w:color w:val="00000A"/>
        </w:rPr>
        <w:t>ondições de execução</w:t>
      </w:r>
    </w:p>
    <w:p>
      <w:pPr>
        <w:pStyle w:val="Standard"/>
        <w:numPr>
          <w:ilvl w:val="0"/>
          <w:numId w:val="22"/>
        </w:numPr>
        <w:jc w:val="both"/>
        <w:rPr>
          <w:rFonts w:ascii="Times New Roman" w:hAnsi="Times New Roman" w:cs="Times New Roman"/>
          <w:b/>
          <w:bCs/>
          <w:color w:val="00000A"/>
        </w:rPr>
      </w:pPr>
      <w:r>
        <w:rPr>
          <w:rFonts w:cs="Times New Roman" w:ascii="Times New Roman" w:hAnsi="Times New Roman"/>
          <w:b/>
          <w:bCs/>
          <w:color w:val="00000A"/>
        </w:rPr>
      </w:r>
    </w:p>
    <w:p>
      <w:pPr>
        <w:pStyle w:val="Standard"/>
        <w:numPr>
          <w:ilvl w:val="0"/>
          <w:numId w:val="23"/>
        </w:numPr>
        <w:ind w:left="567"/>
        <w:jc w:val="both"/>
        <w:rPr/>
      </w:pPr>
      <w:r>
        <w:rPr>
          <w:rFonts w:cs="Times New Roman" w:ascii="Times New Roman" w:hAnsi="Times New Roman"/>
          <w:b/>
          <w:bCs/>
        </w:rPr>
        <w:t xml:space="preserve">4.1.1. </w:t>
      </w:r>
      <w:r>
        <w:rPr>
          <w:rFonts w:cs="Times New Roman" w:ascii="Times New Roman" w:hAnsi="Times New Roman"/>
        </w:rPr>
        <w:t>A execução do objeto seguirá a seguinte dinâmica:</w:t>
      </w:r>
    </w:p>
    <w:p>
      <w:pPr>
        <w:pStyle w:val="Standard"/>
        <w:jc w:val="both"/>
        <w:rPr>
          <w:rFonts w:ascii="Times New Roman" w:hAnsi="Times New Roman" w:cs="Times New Roman"/>
          <w:shd w:fill="AFD095" w:val="clear"/>
        </w:rPr>
      </w:pPr>
      <w:r>
        <w:rPr>
          <w:rFonts w:cs="Times New Roman" w:ascii="Times New Roman" w:hAnsi="Times New Roman"/>
          <w:shd w:fill="AFD095" w:val="clear"/>
        </w:rPr>
      </w:r>
    </w:p>
    <w:p>
      <w:pPr>
        <w:pStyle w:val="Nvel3-R"/>
        <w:numPr>
          <w:ilvl w:val="2"/>
          <w:numId w:val="24"/>
        </w:numPr>
        <w:spacing w:lineRule="auto" w:line="240" w:before="0" w:after="0"/>
        <w:ind w:hanging="0" w:left="850"/>
        <w:textAlignment w:val="top"/>
        <w:rPr/>
      </w:pPr>
      <w:r>
        <w:rPr>
          <w:rFonts w:cs="Times New Roman" w:ascii="Times New Roman" w:hAnsi="Times New Roman"/>
          <w:b/>
          <w:bCs/>
          <w:i w:val="false"/>
          <w:iCs w:val="false"/>
          <w:color w:val="auto"/>
          <w:sz w:val="24"/>
          <w:szCs w:val="24"/>
        </w:rPr>
        <w:t xml:space="preserve">4.1.1.1. </w:t>
      </w:r>
      <w:r>
        <w:rPr>
          <w:rFonts w:eastAsia="Times New Roman" w:cs="Times New Roman" w:ascii="Times New Roman" w:hAnsi="Times New Roman"/>
          <w:i w:val="false"/>
          <w:iCs w:val="false"/>
          <w:color w:val="auto"/>
          <w:sz w:val="24"/>
          <w:szCs w:val="24"/>
        </w:rPr>
        <w:t>Início da execução do objeto: imediatamente a contar do termo definitivo de aceitação do objeto da concessão, observado o disposto no item 9 do Edital.</w:t>
      </w:r>
    </w:p>
    <w:p>
      <w:pPr>
        <w:pStyle w:val="Standard"/>
        <w:tabs>
          <w:tab w:val="clear" w:pos="720"/>
          <w:tab w:val="left" w:pos="851"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rPr>
      </w:pPr>
      <w:r>
        <w:rPr>
          <w:rFonts w:eastAsia="Times New Roman" w:cs="Times New Roman" w:ascii="Times New Roman" w:hAnsi="Times New Roman"/>
        </w:rPr>
      </w:r>
    </w:p>
    <w:p>
      <w:pPr>
        <w:pStyle w:val="Standard"/>
        <w:tabs>
          <w:tab w:val="clear" w:pos="720"/>
          <w:tab w:val="left" w:pos="1985"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pPr>
      <w:r>
        <w:rPr>
          <w:rFonts w:eastAsia="Times New Roman" w:cs="Times New Roman" w:ascii="Times New Roman" w:hAnsi="Times New Roman"/>
          <w:b/>
          <w:bCs/>
        </w:rPr>
        <w:t>4.1.1.1.1.</w:t>
      </w:r>
      <w:r>
        <w:rPr>
          <w:rFonts w:eastAsia="Times New Roman" w:cs="Times New Roman" w:ascii="Times New Roman" w:hAnsi="Times New Roman"/>
        </w:rPr>
        <w:t xml:space="preserve"> Caso não seja possível iniciar a execução dos serviços na data assinalada, a(s) CONCESSIONÁRIA(s) deverá(ão) comunicar o CONCEDENTE das razões respectivas, com antecedência, para que qualquer pleito de prorrogação de prazo seja analisado pela Secretaria requisitante, ressalvadas situações de caso fortuito e força maior.</w:t>
      </w:r>
    </w:p>
    <w:p>
      <w:pPr>
        <w:pStyle w:val="Standard"/>
        <w:tabs>
          <w:tab w:val="clear" w:pos="720"/>
          <w:tab w:val="left" w:pos="851"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cs="Times New Roman"/>
          <w:b/>
          <w:bCs/>
        </w:rPr>
      </w:pPr>
      <w:r>
        <w:rPr>
          <w:rFonts w:cs="Times New Roman" w:ascii="Times New Roman" w:hAnsi="Times New Roman"/>
          <w:b/>
          <w:bCs/>
        </w:rPr>
      </w:r>
    </w:p>
    <w:p>
      <w:pPr>
        <w:pStyle w:val="Standard"/>
        <w:tabs>
          <w:tab w:val="clear" w:pos="720"/>
          <w:tab w:val="left" w:pos="1134"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textAlignment w:val="top"/>
        <w:rPr>
          <w:rFonts w:ascii="Times New Roman" w:hAnsi="Times New Roman" w:cs="Times New Roman"/>
          <w:b/>
          <w:bCs/>
        </w:rPr>
      </w:pPr>
      <w:r>
        <w:rPr>
          <w:rFonts w:cs="Times New Roman" w:ascii="Times New Roman" w:hAnsi="Times New Roman"/>
          <w:b/>
          <w:bCs/>
        </w:rPr>
        <w:t>4.2. Da descrição dos serviços</w:t>
      </w:r>
    </w:p>
    <w:p>
      <w:pPr>
        <w:pStyle w:val="Default"/>
        <w:ind w:left="567"/>
        <w:jc w:val="both"/>
        <w:rPr>
          <w:b/>
          <w:bCs/>
          <w:color w:val="auto"/>
        </w:rPr>
      </w:pPr>
      <w:r>
        <w:rPr>
          <w:b/>
          <w:bCs/>
          <w:color w:val="auto"/>
        </w:rPr>
      </w:r>
    </w:p>
    <w:p>
      <w:pPr>
        <w:pStyle w:val="Default"/>
        <w:ind w:left="567"/>
        <w:jc w:val="both"/>
        <w:rPr/>
      </w:pPr>
      <w:r>
        <w:rPr>
          <w:b/>
          <w:bCs/>
          <w:color w:val="auto"/>
        </w:rPr>
        <w:t>4.2.1.</w:t>
      </w:r>
      <w:r>
        <w:rPr>
          <w:color w:val="auto"/>
        </w:rPr>
        <w:t xml:space="preserve"> Fica estabelecido à(s) CONCESSIONÁRIA(s) os serviços funerários que, obrigatoriamente, deverão ser realizados:</w:t>
      </w:r>
    </w:p>
    <w:p>
      <w:pPr>
        <w:pStyle w:val="Default"/>
        <w:jc w:val="both"/>
        <w:rPr>
          <w:color w:val="auto"/>
        </w:rPr>
      </w:pPr>
      <w:r>
        <w:rPr>
          <w:color w:val="auto"/>
        </w:rPr>
      </w:r>
    </w:p>
    <w:p>
      <w:pPr>
        <w:pStyle w:val="Default"/>
        <w:ind w:left="850"/>
        <w:jc w:val="both"/>
        <w:rPr/>
      </w:pPr>
      <w:r>
        <w:rPr>
          <w:b/>
          <w:bCs/>
          <w:color w:val="auto"/>
        </w:rPr>
        <w:t>4.2.1.</w:t>
      </w:r>
      <w:r>
        <w:rPr>
          <w:b/>
          <w:color w:val="auto"/>
        </w:rPr>
        <w:t xml:space="preserve">1. </w:t>
      </w:r>
      <w:r>
        <w:rPr>
          <w:color w:val="auto"/>
        </w:rPr>
        <w:t>venda de ataúdes (urnas, caixões);</w:t>
      </w:r>
    </w:p>
    <w:p>
      <w:pPr>
        <w:pStyle w:val="Default"/>
        <w:ind w:left="850"/>
        <w:jc w:val="both"/>
        <w:rPr>
          <w:color w:val="auto"/>
        </w:rPr>
      </w:pPr>
      <w:r>
        <w:rPr>
          <w:color w:val="auto"/>
        </w:rPr>
      </w:r>
    </w:p>
    <w:p>
      <w:pPr>
        <w:pStyle w:val="Default"/>
        <w:ind w:left="850"/>
        <w:jc w:val="both"/>
        <w:rPr/>
      </w:pPr>
      <w:r>
        <w:rPr>
          <w:b/>
          <w:bCs/>
          <w:color w:val="auto"/>
        </w:rPr>
        <w:t>4.2.1.</w:t>
      </w:r>
      <w:r>
        <w:rPr>
          <w:b/>
          <w:color w:val="auto"/>
        </w:rPr>
        <w:t>2.</w:t>
      </w:r>
      <w:r>
        <w:rPr>
          <w:color w:val="auto"/>
        </w:rPr>
        <w:t xml:space="preserve"> transporte e/ou translado de cadáveres ou restos mortais, compreendendo:</w:t>
      </w:r>
    </w:p>
    <w:p>
      <w:pPr>
        <w:pStyle w:val="Default"/>
        <w:ind w:left="567"/>
        <w:jc w:val="both"/>
        <w:rPr>
          <w:color w:val="auto"/>
        </w:rPr>
      </w:pPr>
      <w:r>
        <w:rPr>
          <w:color w:val="auto"/>
        </w:rPr>
      </w:r>
    </w:p>
    <w:p>
      <w:pPr>
        <w:pStyle w:val="Default"/>
        <w:ind w:left="1134"/>
        <w:jc w:val="both"/>
        <w:rPr/>
      </w:pPr>
      <w:r>
        <w:rPr>
          <w:b/>
          <w:color w:val="auto"/>
        </w:rPr>
        <w:t xml:space="preserve">a) </w:t>
      </w:r>
      <w:r>
        <w:rPr>
          <w:color w:val="auto"/>
        </w:rPr>
        <w:t>recolhimento de cadáver do local do óbito, em locais públicos ou privados, dentro do território do Município, salvo nos casos em que o transporte deva ser realizado por autoridade policial;</w:t>
      </w:r>
    </w:p>
    <w:p>
      <w:pPr>
        <w:pStyle w:val="Default"/>
        <w:ind w:left="1134"/>
        <w:jc w:val="both"/>
        <w:rPr>
          <w:color w:val="auto"/>
        </w:rPr>
      </w:pPr>
      <w:r>
        <w:rPr>
          <w:color w:val="auto"/>
        </w:rPr>
      </w:r>
    </w:p>
    <w:p>
      <w:pPr>
        <w:pStyle w:val="Default"/>
        <w:ind w:left="1134"/>
        <w:jc w:val="both"/>
        <w:rPr/>
      </w:pPr>
      <w:r>
        <w:rPr>
          <w:b/>
          <w:color w:val="auto"/>
        </w:rPr>
        <w:t xml:space="preserve">b) </w:t>
      </w:r>
      <w:r>
        <w:rPr>
          <w:color w:val="auto"/>
        </w:rPr>
        <w:t>recolhimento de cadáver à funerária;</w:t>
      </w:r>
    </w:p>
    <w:p>
      <w:pPr>
        <w:pStyle w:val="Default"/>
        <w:ind w:left="1134"/>
        <w:jc w:val="both"/>
        <w:rPr>
          <w:color w:val="auto"/>
        </w:rPr>
      </w:pPr>
      <w:r>
        <w:rPr>
          <w:color w:val="auto"/>
        </w:rPr>
      </w:r>
    </w:p>
    <w:p>
      <w:pPr>
        <w:pStyle w:val="Default"/>
        <w:ind w:left="1134"/>
        <w:jc w:val="both"/>
        <w:rPr/>
      </w:pPr>
      <w:r>
        <w:rPr>
          <w:b/>
          <w:color w:val="auto"/>
        </w:rPr>
        <w:t xml:space="preserve">c) </w:t>
      </w:r>
      <w:r>
        <w:rPr>
          <w:color w:val="auto"/>
        </w:rPr>
        <w:t>transporte do corpo ao local de velório;</w:t>
      </w:r>
    </w:p>
    <w:p>
      <w:pPr>
        <w:pStyle w:val="Default"/>
        <w:ind w:left="1134"/>
        <w:jc w:val="both"/>
        <w:rPr>
          <w:color w:val="auto"/>
        </w:rPr>
      </w:pPr>
      <w:r>
        <w:rPr>
          <w:color w:val="auto"/>
        </w:rPr>
      </w:r>
    </w:p>
    <w:p>
      <w:pPr>
        <w:pStyle w:val="Default"/>
        <w:ind w:left="1134"/>
        <w:jc w:val="both"/>
        <w:rPr/>
      </w:pPr>
      <w:r>
        <w:rPr>
          <w:b/>
          <w:color w:val="auto"/>
        </w:rPr>
        <w:t xml:space="preserve">d) </w:t>
      </w:r>
      <w:r>
        <w:rPr>
          <w:color w:val="auto"/>
        </w:rPr>
        <w:t>transporte do corpo ao local de sepultamento;</w:t>
      </w:r>
    </w:p>
    <w:p>
      <w:pPr>
        <w:pStyle w:val="Default"/>
        <w:ind w:left="1134"/>
        <w:jc w:val="both"/>
        <w:rPr>
          <w:color w:val="auto"/>
        </w:rPr>
      </w:pPr>
      <w:r>
        <w:rPr>
          <w:color w:val="auto"/>
        </w:rPr>
      </w:r>
    </w:p>
    <w:p>
      <w:pPr>
        <w:pStyle w:val="Default"/>
        <w:ind w:left="1134"/>
        <w:jc w:val="both"/>
        <w:rPr/>
      </w:pPr>
      <w:r>
        <w:rPr>
          <w:b/>
          <w:color w:val="auto"/>
        </w:rPr>
        <w:t xml:space="preserve">e) </w:t>
      </w:r>
      <w:r>
        <w:rPr>
          <w:color w:val="auto"/>
        </w:rPr>
        <w:t>outros translados que se fizerem necessários.</w:t>
      </w:r>
    </w:p>
    <w:p>
      <w:pPr>
        <w:pStyle w:val="Default"/>
        <w:ind w:left="567"/>
        <w:jc w:val="both"/>
        <w:rPr>
          <w:b/>
          <w:color w:val="auto"/>
        </w:rPr>
      </w:pPr>
      <w:r>
        <w:rPr>
          <w:b/>
          <w:color w:val="auto"/>
        </w:rPr>
      </w:r>
    </w:p>
    <w:p>
      <w:pPr>
        <w:pStyle w:val="Default"/>
        <w:ind w:left="850"/>
        <w:jc w:val="both"/>
        <w:rPr/>
      </w:pPr>
      <w:r>
        <w:rPr>
          <w:b/>
          <w:bCs/>
          <w:color w:val="auto"/>
        </w:rPr>
        <w:t>4.2.1.</w:t>
      </w:r>
      <w:r>
        <w:rPr>
          <w:b/>
          <w:color w:val="auto"/>
        </w:rPr>
        <w:t xml:space="preserve">3. </w:t>
      </w:r>
      <w:r>
        <w:rPr>
          <w:color w:val="auto"/>
        </w:rPr>
        <w:t>entregar o corpo em condições de velação, tendo sido lavado, higienizado, tamponado e maquiado;</w:t>
      </w:r>
    </w:p>
    <w:p>
      <w:pPr>
        <w:pStyle w:val="Default"/>
        <w:ind w:left="850"/>
        <w:jc w:val="both"/>
        <w:rPr>
          <w:color w:val="auto"/>
        </w:rPr>
      </w:pPr>
      <w:r>
        <w:rPr>
          <w:color w:val="auto"/>
        </w:rPr>
      </w:r>
    </w:p>
    <w:p>
      <w:pPr>
        <w:pStyle w:val="Default"/>
        <w:ind w:left="850"/>
        <w:jc w:val="both"/>
        <w:rPr/>
      </w:pPr>
      <w:r>
        <w:rPr>
          <w:b/>
          <w:bCs/>
          <w:color w:val="auto"/>
        </w:rPr>
        <w:t>4.2.1.</w:t>
      </w:r>
      <w:r>
        <w:rPr>
          <w:b/>
          <w:color w:val="auto"/>
        </w:rPr>
        <w:t xml:space="preserve">4. </w:t>
      </w:r>
      <w:r>
        <w:rPr>
          <w:color w:val="auto"/>
        </w:rPr>
        <w:t>embalsamamento e tanatopraxia (nos casos obrigatórios);</w:t>
      </w:r>
    </w:p>
    <w:p>
      <w:pPr>
        <w:pStyle w:val="Default"/>
        <w:ind w:left="850"/>
        <w:jc w:val="both"/>
        <w:rPr>
          <w:color w:val="auto"/>
        </w:rPr>
      </w:pPr>
      <w:r>
        <w:rPr>
          <w:color w:val="auto"/>
        </w:rPr>
      </w:r>
    </w:p>
    <w:p>
      <w:pPr>
        <w:pStyle w:val="Default"/>
        <w:ind w:left="850"/>
        <w:jc w:val="both"/>
        <w:rPr/>
      </w:pPr>
      <w:r>
        <w:rPr>
          <w:b/>
          <w:bCs/>
          <w:color w:val="auto"/>
        </w:rPr>
        <w:t>4.2.1.</w:t>
      </w:r>
      <w:r>
        <w:rPr>
          <w:b/>
          <w:color w:val="auto"/>
        </w:rPr>
        <w:t>5.</w:t>
      </w:r>
      <w:r>
        <w:rPr>
          <w:color w:val="auto"/>
        </w:rPr>
        <w:t xml:space="preserve"> auxiliar nos contatos com empresas funerárias de outros municípios, garantindo a continuidade do serviço através de translado ou outros procedimentos que se fizerem necessários;</w:t>
      </w:r>
    </w:p>
    <w:p>
      <w:pPr>
        <w:pStyle w:val="Default"/>
        <w:ind w:left="850"/>
        <w:jc w:val="both"/>
        <w:rPr>
          <w:color w:val="auto"/>
        </w:rPr>
      </w:pPr>
      <w:r>
        <w:rPr>
          <w:color w:val="auto"/>
        </w:rPr>
      </w:r>
    </w:p>
    <w:p>
      <w:pPr>
        <w:pStyle w:val="Default"/>
        <w:tabs>
          <w:tab w:val="clear" w:pos="720"/>
          <w:tab w:val="left" w:pos="1701"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pPr>
      <w:r>
        <w:rPr>
          <w:b/>
          <w:bCs/>
          <w:color w:val="auto"/>
          <w:lang w:bidi="ar-SA"/>
        </w:rPr>
        <w:t>4.2.1.</w:t>
      </w:r>
      <w:r>
        <w:rPr>
          <w:b/>
          <w:color w:val="auto"/>
          <w:lang w:bidi="ar-SA"/>
        </w:rPr>
        <w:t xml:space="preserve">6. </w:t>
      </w:r>
      <w:r>
        <w:rPr>
          <w:color w:val="auto"/>
          <w:lang w:bidi="ar-SA"/>
        </w:rPr>
        <w:t>assistir durante todo o período do velório no que compreende dirimir dúvidas e/ou prestar informações como horário do sepultamento, horários de abertura e fechamento dos locais de sepultamento como capelas, local, tempo de transcurso, entre outras informações ou problemas que ocorrerem durante a prestação dos serviços.</w:t>
      </w:r>
    </w:p>
    <w:p>
      <w:pPr>
        <w:pStyle w:val="Default"/>
        <w:tabs>
          <w:tab w:val="clear" w:pos="720"/>
          <w:tab w:val="left" w:pos="1701"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b/>
          <w:color w:val="auto"/>
          <w:lang w:bidi="ar-SA"/>
        </w:rPr>
      </w:pPr>
      <w:r>
        <w:rPr>
          <w:b/>
          <w:color w:val="auto"/>
          <w:lang w:bidi="ar-SA"/>
        </w:rPr>
      </w:r>
    </w:p>
    <w:p>
      <w:pPr>
        <w:pStyle w:val="Default"/>
        <w:ind w:left="567"/>
        <w:jc w:val="both"/>
        <w:rPr>
          <w:b/>
          <w:color w:val="auto"/>
        </w:rPr>
      </w:pPr>
      <w:r>
        <w:rPr>
          <w:b/>
          <w:color w:val="auto"/>
        </w:rPr>
        <w:t>4.2.2. Dos serviços funerários essenciais</w:t>
      </w:r>
    </w:p>
    <w:p>
      <w:pPr>
        <w:pStyle w:val="Default"/>
        <w:jc w:val="both"/>
        <w:rPr>
          <w:b/>
          <w:color w:val="auto"/>
        </w:rPr>
      </w:pPr>
      <w:r>
        <w:rPr>
          <w:b/>
          <w:color w:val="auto"/>
        </w:rPr>
      </w:r>
    </w:p>
    <w:p>
      <w:pPr>
        <w:pStyle w:val="Default"/>
        <w:ind w:left="850"/>
        <w:jc w:val="both"/>
        <w:rPr/>
      </w:pPr>
      <w:r>
        <w:rPr>
          <w:b/>
          <w:color w:val="auto"/>
        </w:rPr>
        <w:t xml:space="preserve">4.2.2.1. </w:t>
      </w:r>
      <w:r>
        <w:rPr>
          <w:color w:val="auto"/>
        </w:rPr>
        <w:t xml:space="preserve">Os padrões para prestação dos serviços funerários essenciais, considerados básicos para a organização e realização do funeral que, obrigatoriamente, deverão ser ofertados pela(s) CONCESSIONÁRIA(s) aos usuários, conforme </w:t>
      </w:r>
      <w:r>
        <w:rPr>
          <w:kern w:val="0"/>
        </w:rPr>
        <w:t>Decreto Municipal n.º 24.134, de 19 de março de 2026</w:t>
      </w:r>
      <w:r>
        <w:rPr>
          <w:color w:val="auto"/>
        </w:rPr>
        <w:t>, são classificados nas seguintes modalidades:</w:t>
      </w:r>
    </w:p>
    <w:p>
      <w:pPr>
        <w:pStyle w:val="Default"/>
        <w:jc w:val="both"/>
        <w:rPr>
          <w:color w:val="auto"/>
        </w:rPr>
      </w:pPr>
      <w:r>
        <w:rPr>
          <w:color w:val="auto"/>
        </w:rPr>
      </w:r>
    </w:p>
    <w:p>
      <w:pPr>
        <w:pStyle w:val="Default"/>
        <w:ind w:left="1077"/>
        <w:jc w:val="both"/>
        <w:rPr/>
      </w:pPr>
      <w:r>
        <w:rPr>
          <w:b/>
          <w:bCs/>
          <w:color w:val="auto"/>
        </w:rPr>
        <w:t>a) Padrão I – Básico/Simples,</w:t>
      </w:r>
      <w:r>
        <w:rPr>
          <w:color w:val="auto"/>
        </w:rPr>
        <w:t xml:space="preserve"> o qual compreende:</w:t>
      </w:r>
    </w:p>
    <w:p>
      <w:pPr>
        <w:pStyle w:val="Standard"/>
        <w:ind w:left="1304"/>
        <w:rPr/>
      </w:pPr>
      <w:r>
        <w:rPr>
          <w:rFonts w:cs="Times New Roman" w:ascii="Times New Roman" w:hAnsi="Times New Roman"/>
        </w:rPr>
        <w:br/>
      </w:r>
      <w:r>
        <w:rPr>
          <w:rFonts w:cs="Times New Roman" w:ascii="Times New Roman" w:hAnsi="Times New Roman"/>
          <w:b/>
          <w:bCs/>
        </w:rPr>
        <w:t xml:space="preserve">a.1) </w:t>
      </w:r>
      <w:r>
        <w:rPr>
          <w:rFonts w:cs="Times New Roman" w:ascii="Times New Roman" w:hAnsi="Times New Roman"/>
        </w:rPr>
        <w:t>urna funerária com 06 (seis) alças duras, sem verniz, com forração em TNT;</w:t>
      </w:r>
    </w:p>
    <w:p>
      <w:pPr>
        <w:pStyle w:val="Standard"/>
        <w:ind w:left="1304"/>
        <w:rPr/>
      </w:pPr>
      <w:r>
        <w:rPr>
          <w:rFonts w:cs="Times New Roman" w:ascii="Times New Roman" w:hAnsi="Times New Roman"/>
        </w:rPr>
        <w:br/>
      </w:r>
      <w:r>
        <w:rPr>
          <w:rFonts w:cs="Times New Roman" w:ascii="Times New Roman" w:hAnsi="Times New Roman"/>
          <w:b/>
          <w:bCs/>
        </w:rPr>
        <w:t xml:space="preserve">a.2) </w:t>
      </w:r>
      <w:r>
        <w:rPr>
          <w:rFonts w:cs="Times New Roman" w:ascii="Times New Roman" w:hAnsi="Times New Roman"/>
        </w:rPr>
        <w:t>suporte para urna e para coroa de flores;</w:t>
      </w:r>
    </w:p>
    <w:p>
      <w:pPr>
        <w:pStyle w:val="Standard"/>
        <w:ind w:left="1304"/>
        <w:rPr/>
      </w:pPr>
      <w:r>
        <w:rPr>
          <w:rFonts w:cs="Times New Roman" w:ascii="Times New Roman" w:hAnsi="Times New Roman"/>
        </w:rPr>
        <w:br/>
      </w:r>
      <w:r>
        <w:rPr>
          <w:rFonts w:cs="Times New Roman" w:ascii="Times New Roman" w:hAnsi="Times New Roman"/>
          <w:b/>
          <w:bCs/>
        </w:rPr>
        <w:t xml:space="preserve">a.3) </w:t>
      </w:r>
      <w:r>
        <w:rPr>
          <w:rFonts w:cs="Times New Roman" w:ascii="Times New Roman" w:hAnsi="Times New Roman"/>
        </w:rPr>
        <w:t>véu, quando solicitado pelo contratante;</w:t>
      </w:r>
    </w:p>
    <w:p>
      <w:pPr>
        <w:pStyle w:val="Standard"/>
        <w:ind w:left="1304"/>
        <w:rPr/>
      </w:pPr>
      <w:r>
        <w:rPr>
          <w:rFonts w:cs="Times New Roman" w:ascii="Times New Roman" w:hAnsi="Times New Roman"/>
        </w:rPr>
        <w:br/>
      </w:r>
      <w:r>
        <w:rPr>
          <w:rFonts w:cs="Times New Roman" w:ascii="Times New Roman" w:hAnsi="Times New Roman"/>
          <w:b/>
          <w:bCs/>
        </w:rPr>
        <w:t xml:space="preserve">a.4) </w:t>
      </w:r>
      <w:r>
        <w:rPr>
          <w:rFonts w:cs="Times New Roman" w:ascii="Times New Roman" w:hAnsi="Times New Roman"/>
        </w:rPr>
        <w:t>velas ou lâmpadas elétricas;</w:t>
      </w:r>
    </w:p>
    <w:p>
      <w:pPr>
        <w:pStyle w:val="Standard"/>
        <w:ind w:left="1304"/>
        <w:rPr/>
      </w:pPr>
      <w:r>
        <w:rPr>
          <w:rFonts w:cs="Times New Roman" w:ascii="Times New Roman" w:hAnsi="Times New Roman"/>
        </w:rPr>
        <w:br/>
      </w:r>
      <w:r>
        <w:rPr>
          <w:rFonts w:cs="Times New Roman" w:ascii="Times New Roman" w:hAnsi="Times New Roman"/>
          <w:b/>
          <w:bCs/>
        </w:rPr>
        <w:t>a.5)</w:t>
      </w:r>
      <w:r>
        <w:rPr>
          <w:rFonts w:cs="Times New Roman" w:ascii="Times New Roman" w:hAnsi="Times New Roman"/>
        </w:rPr>
        <w:t xml:space="preserve"> material para assepsia do corpo e limpeza dos ambientes;</w:t>
      </w:r>
    </w:p>
    <w:p>
      <w:pPr>
        <w:pStyle w:val="Standard"/>
        <w:ind w:left="1304"/>
        <w:rPr/>
      </w:pPr>
      <w:r>
        <w:rPr>
          <w:rFonts w:cs="Times New Roman" w:ascii="Times New Roman" w:hAnsi="Times New Roman"/>
        </w:rPr>
        <w:br/>
      </w:r>
      <w:r>
        <w:rPr>
          <w:rFonts w:cs="Times New Roman" w:ascii="Times New Roman" w:hAnsi="Times New Roman"/>
          <w:b/>
          <w:bCs/>
        </w:rPr>
        <w:t>a.6)</w:t>
      </w:r>
      <w:r>
        <w:rPr>
          <w:rFonts w:cs="Times New Roman" w:ascii="Times New Roman" w:hAnsi="Times New Roman"/>
        </w:rPr>
        <w:t xml:space="preserve"> remoção e transporte ao cemitério dentro dos limites territoriais do CONCEDENTE; e</w:t>
      </w:r>
    </w:p>
    <w:p>
      <w:pPr>
        <w:pStyle w:val="Standard"/>
        <w:ind w:left="1304"/>
        <w:rPr/>
      </w:pPr>
      <w:r>
        <w:rPr>
          <w:rFonts w:cs="Times New Roman" w:ascii="Times New Roman" w:hAnsi="Times New Roman"/>
        </w:rPr>
        <w:br/>
      </w:r>
      <w:r>
        <w:rPr>
          <w:rFonts w:cs="Times New Roman" w:ascii="Times New Roman" w:hAnsi="Times New Roman"/>
          <w:b/>
          <w:bCs/>
        </w:rPr>
        <w:t xml:space="preserve">a.7) </w:t>
      </w:r>
      <w:r>
        <w:rPr>
          <w:rFonts w:cs="Times New Roman" w:ascii="Times New Roman" w:hAnsi="Times New Roman"/>
        </w:rPr>
        <w:t>sala velatória.</w:t>
      </w:r>
    </w:p>
    <w:p>
      <w:pPr>
        <w:pStyle w:val="Default"/>
        <w:ind w:left="283"/>
        <w:jc w:val="both"/>
        <w:rPr>
          <w:color w:val="auto"/>
        </w:rPr>
      </w:pPr>
      <w:r>
        <w:rPr>
          <w:color w:val="auto"/>
        </w:rPr>
      </w:r>
    </w:p>
    <w:p>
      <w:pPr>
        <w:pStyle w:val="Default"/>
        <w:ind w:left="1077"/>
        <w:jc w:val="both"/>
        <w:rPr/>
      </w:pPr>
      <w:r>
        <w:rPr>
          <w:b/>
          <w:bCs/>
          <w:color w:val="auto"/>
        </w:rPr>
        <w:t>b) Padrão II – Especial</w:t>
      </w:r>
      <w:r>
        <w:rPr>
          <w:color w:val="auto"/>
        </w:rPr>
        <w:t>, o qual compreende além do previsto nas alíneas "a.1" até "a.7", do Padrão I – Básico/Simples</w:t>
      </w:r>
      <w:r>
        <w:rPr>
          <w:b/>
          <w:bCs/>
          <w:color w:val="auto"/>
        </w:rPr>
        <w:t>,</w:t>
      </w:r>
      <w:r>
        <w:rPr>
          <w:color w:val="auto"/>
        </w:rPr>
        <w:t xml:space="preserve"> a urna funerária diferenciada, a qual deverá ser subdividida em:</w:t>
      </w:r>
    </w:p>
    <w:p>
      <w:pPr>
        <w:pStyle w:val="Standard"/>
        <w:ind w:left="283"/>
        <w:rPr>
          <w:rFonts w:ascii="Times New Roman" w:hAnsi="Times New Roman" w:cs="Times New Roman"/>
        </w:rPr>
      </w:pPr>
      <w:r>
        <w:rPr>
          <w:rFonts w:cs="Times New Roman" w:ascii="Times New Roman" w:hAnsi="Times New Roman"/>
        </w:rPr>
      </w:r>
    </w:p>
    <w:p>
      <w:pPr>
        <w:pStyle w:val="Standard"/>
        <w:ind w:left="1304"/>
        <w:jc w:val="both"/>
        <w:rPr/>
      </w:pPr>
      <w:r>
        <w:rPr>
          <w:rFonts w:cs="Times New Roman" w:ascii="Times New Roman" w:hAnsi="Times New Roman"/>
          <w:b/>
          <w:bCs/>
        </w:rPr>
        <w:t xml:space="preserve">b.1) </w:t>
      </w:r>
      <w:r>
        <w:rPr>
          <w:rFonts w:cs="Times New Roman" w:ascii="Times New Roman" w:hAnsi="Times New Roman"/>
        </w:rPr>
        <w:t xml:space="preserve">obeso;     </w:t>
      </w:r>
    </w:p>
    <w:p>
      <w:pPr>
        <w:pStyle w:val="Standard"/>
        <w:ind w:left="1304"/>
        <w:jc w:val="both"/>
        <w:rPr/>
      </w:pPr>
      <w:r>
        <w:rPr>
          <w:rFonts w:cs="Times New Roman" w:ascii="Times New Roman" w:hAnsi="Times New Roman"/>
        </w:rPr>
        <w:t xml:space="preserve">                                                                                                       </w:t>
      </w:r>
      <w:r>
        <w:rPr>
          <w:rFonts w:cs="Times New Roman" w:ascii="Times New Roman" w:hAnsi="Times New Roman"/>
        </w:rPr>
        <w:br/>
      </w:r>
      <w:r>
        <w:rPr>
          <w:rFonts w:cs="Times New Roman" w:ascii="Times New Roman" w:hAnsi="Times New Roman"/>
          <w:b/>
          <w:bCs/>
        </w:rPr>
        <w:t xml:space="preserve">b.2) </w:t>
      </w:r>
      <w:r>
        <w:rPr>
          <w:rFonts w:cs="Times New Roman" w:ascii="Times New Roman" w:hAnsi="Times New Roman"/>
        </w:rPr>
        <w:t xml:space="preserve">infantil; e    </w:t>
      </w:r>
    </w:p>
    <w:p>
      <w:pPr>
        <w:pStyle w:val="Standard"/>
        <w:ind w:left="1304"/>
        <w:jc w:val="both"/>
        <w:rPr/>
      </w:pPr>
      <w:r>
        <w:rPr>
          <w:rFonts w:cs="Times New Roman" w:ascii="Times New Roman" w:hAnsi="Times New Roman"/>
        </w:rPr>
        <w:t xml:space="preserve">                                                                        </w:t>
      </w:r>
      <w:r>
        <w:rPr>
          <w:rFonts w:cs="Times New Roman" w:ascii="Times New Roman" w:hAnsi="Times New Roman"/>
        </w:rPr>
        <w:br/>
      </w:r>
      <w:r>
        <w:rPr>
          <w:rFonts w:cs="Times New Roman" w:ascii="Times New Roman" w:hAnsi="Times New Roman"/>
          <w:b/>
          <w:bCs/>
        </w:rPr>
        <w:t>b.3)</w:t>
      </w:r>
      <w:r>
        <w:rPr>
          <w:rFonts w:cs="Times New Roman" w:ascii="Times New Roman" w:hAnsi="Times New Roman"/>
        </w:rPr>
        <w:t xml:space="preserve"> indivíduos com altura superior a 1,95 m (um metro e noventa e cinco centímetros).</w:t>
      </w:r>
    </w:p>
    <w:p>
      <w:pPr>
        <w:pStyle w:val="Standard"/>
        <w:ind w:left="567"/>
        <w:jc w:val="both"/>
        <w:rPr>
          <w:rFonts w:ascii="Times New Roman" w:hAnsi="Times New Roman" w:cs="Times New Roman"/>
          <w:b/>
        </w:rPr>
      </w:pPr>
      <w:r>
        <w:rPr>
          <w:rFonts w:cs="Times New Roman" w:ascii="Times New Roman" w:hAnsi="Times New Roman"/>
          <w:b/>
        </w:rPr>
      </w:r>
    </w:p>
    <w:p>
      <w:pPr>
        <w:pStyle w:val="Standard"/>
        <w:ind w:left="567"/>
        <w:jc w:val="both"/>
        <w:rPr/>
      </w:pPr>
      <w:r>
        <w:rPr>
          <w:rFonts w:cs="Times New Roman" w:ascii="Times New Roman" w:hAnsi="Times New Roman"/>
          <w:b/>
          <w:bCs/>
        </w:rPr>
        <w:t>4.2.3.</w:t>
      </w:r>
      <w:r>
        <w:rPr>
          <w:rFonts w:cs="Times New Roman" w:ascii="Times New Roman" w:hAnsi="Times New Roman"/>
        </w:rPr>
        <w:t xml:space="preserve"> Além dos padrões citados acima, é livre a criação de outros padrões, a critério da(s) CONCESSIONÁRIA(s).</w:t>
      </w:r>
    </w:p>
    <w:p>
      <w:pPr>
        <w:pStyle w:val="Standard"/>
        <w:ind w:left="567"/>
        <w:jc w:val="both"/>
        <w:rPr/>
      </w:pPr>
      <w:r>
        <w:rPr>
          <w:rFonts w:cs="Times New Roman" w:ascii="Times New Roman" w:hAnsi="Times New Roman"/>
        </w:rPr>
        <w:br/>
      </w:r>
      <w:r>
        <w:rPr>
          <w:rFonts w:cs="Times New Roman" w:ascii="Times New Roman" w:hAnsi="Times New Roman"/>
          <w:b/>
          <w:bCs/>
        </w:rPr>
        <w:t>4.2.4</w:t>
      </w:r>
      <w:r>
        <w:rPr>
          <w:rFonts w:cs="Times New Roman" w:ascii="Times New Roman" w:hAnsi="Times New Roman"/>
          <w:b/>
        </w:rPr>
        <w:t>.</w:t>
      </w:r>
      <w:r>
        <w:rPr>
          <w:rFonts w:cs="Times New Roman" w:ascii="Times New Roman" w:hAnsi="Times New Roman"/>
        </w:rPr>
        <w:t xml:space="preserve"> Quando se tratar de serviço funerário a título gratuito, decorrente da contraprestação prevista em Lei, deverão ser respeitadas as alíneas "a.1" até "a.7", do Padrão I – Básico/Simples, bem como, quando se tratar de casos especiais, do Padrão II – Especial.</w:t>
      </w:r>
    </w:p>
    <w:p>
      <w:pPr>
        <w:pStyle w:val="Standard"/>
        <w:ind w:left="567"/>
        <w:rPr>
          <w:rFonts w:ascii="Times New Roman" w:hAnsi="Times New Roman" w:cs="Times New Roman"/>
          <w:b/>
        </w:rPr>
      </w:pPr>
      <w:r>
        <w:rPr>
          <w:rFonts w:cs="Times New Roman" w:ascii="Times New Roman" w:hAnsi="Times New Roman"/>
          <w:b/>
        </w:rPr>
      </w:r>
    </w:p>
    <w:p>
      <w:pPr>
        <w:pStyle w:val="Default"/>
        <w:ind w:left="567"/>
        <w:jc w:val="both"/>
        <w:rPr/>
      </w:pPr>
      <w:r>
        <w:rPr>
          <w:b/>
          <w:bCs/>
          <w:color w:val="auto"/>
        </w:rPr>
        <w:t>4.2.5</w:t>
      </w:r>
      <w:r>
        <w:rPr>
          <w:b/>
          <w:color w:val="auto"/>
        </w:rPr>
        <w:t xml:space="preserve">. </w:t>
      </w:r>
      <w:r>
        <w:rPr>
          <w:color w:val="auto"/>
        </w:rPr>
        <w:t xml:space="preserve">A tanatopraxia é facultativa aos usuários, só podendo ser realizada mediante autorização da pessoa responsável pelo cadáver, </w:t>
      </w:r>
      <w:r>
        <w:rPr>
          <w:b/>
          <w:color w:val="auto"/>
        </w:rPr>
        <w:t>porém, será obrigatória a realização do procedimento de conservação quando:</w:t>
      </w:r>
    </w:p>
    <w:p>
      <w:pPr>
        <w:pStyle w:val="Default"/>
        <w:jc w:val="both"/>
        <w:rPr>
          <w:b/>
          <w:bCs/>
          <w:color w:val="auto"/>
        </w:rPr>
      </w:pPr>
      <w:r>
        <w:rPr>
          <w:b/>
          <w:bCs/>
          <w:color w:val="auto"/>
        </w:rPr>
      </w:r>
    </w:p>
    <w:p>
      <w:pPr>
        <w:pStyle w:val="Default"/>
        <w:ind w:left="850"/>
        <w:jc w:val="both"/>
        <w:rPr/>
      </w:pPr>
      <w:r>
        <w:rPr>
          <w:b/>
          <w:bCs/>
          <w:color w:val="auto"/>
        </w:rPr>
        <w:t xml:space="preserve">4.2.5.1. </w:t>
      </w:r>
      <w:r>
        <w:rPr>
          <w:color w:val="auto"/>
        </w:rPr>
        <w:t>o corpo for transladado para município localizado a distância superior a 250 km (duzentos e cinquenta quilômetros) da sede de Caxias do Sul;</w:t>
      </w:r>
    </w:p>
    <w:p>
      <w:pPr>
        <w:pStyle w:val="Default"/>
        <w:ind w:left="850"/>
        <w:jc w:val="both"/>
        <w:rPr>
          <w:color w:val="auto"/>
        </w:rPr>
      </w:pPr>
      <w:r>
        <w:rPr>
          <w:color w:val="auto"/>
        </w:rPr>
      </w:r>
    </w:p>
    <w:p>
      <w:pPr>
        <w:pStyle w:val="Default"/>
        <w:tabs>
          <w:tab w:val="clear" w:pos="720"/>
          <w:tab w:val="left" w:pos="1701"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pPr>
      <w:r>
        <w:rPr>
          <w:b/>
          <w:bCs/>
          <w:color w:val="auto"/>
          <w:lang w:bidi="ar-SA"/>
        </w:rPr>
        <w:t xml:space="preserve">4.2.5.2. </w:t>
      </w:r>
      <w:r>
        <w:rPr>
          <w:color w:val="auto"/>
          <w:lang w:bidi="ar-SA"/>
        </w:rPr>
        <w:t>quando o velório ultrapassar a 24 (vinte e quatro) horas.</w:t>
      </w:r>
    </w:p>
    <w:p>
      <w:pPr>
        <w:pStyle w:val="Default"/>
        <w:tabs>
          <w:tab w:val="clear" w:pos="720"/>
          <w:tab w:val="left" w:pos="1701"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b/>
          <w:color w:val="auto"/>
          <w:lang w:bidi="ar-SA"/>
        </w:rPr>
      </w:pPr>
      <w:r>
        <w:rPr>
          <w:b/>
          <w:color w:val="auto"/>
          <w:lang w:bidi="ar-SA"/>
        </w:rPr>
      </w:r>
    </w:p>
    <w:p>
      <w:pPr>
        <w:pStyle w:val="Default"/>
        <w:tabs>
          <w:tab w:val="clear" w:pos="720"/>
          <w:tab w:val="left" w:pos="851"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b/>
          <w:bCs/>
          <w:color w:val="auto"/>
        </w:rPr>
        <w:t>5.</w:t>
      </w:r>
      <w:r>
        <w:rPr>
          <w:b/>
          <w:bCs/>
        </w:rPr>
        <w:t xml:space="preserve"> DO LOCAL E HORÁRIO DA PRESTAÇÃO DOS SERVIÇOS</w:t>
      </w:r>
    </w:p>
    <w:p>
      <w:pPr>
        <w:pStyle w:val="Default"/>
        <w:tabs>
          <w:tab w:val="clear" w:pos="720"/>
          <w:tab w:val="left" w:pos="851"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b/>
          <w:bCs/>
        </w:rPr>
      </w:pPr>
      <w:r>
        <w:rPr>
          <w:b/>
          <w:bCs/>
        </w:rPr>
      </w:r>
    </w:p>
    <w:p>
      <w:pPr>
        <w:pStyle w:val="Default"/>
        <w:tabs>
          <w:tab w:val="clear" w:pos="720"/>
          <w:tab w:val="left" w:pos="1134"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textAlignment w:val="top"/>
        <w:rPr/>
      </w:pPr>
      <w:r>
        <w:rPr>
          <w:b/>
          <w:bCs/>
          <w:color w:val="auto"/>
          <w:lang w:bidi="ar-SA"/>
        </w:rPr>
        <w:t xml:space="preserve">5.1. </w:t>
      </w:r>
      <w:r>
        <w:rPr>
          <w:color w:val="auto"/>
          <w:lang w:bidi="ar-SA"/>
        </w:rPr>
        <w:t>Os serviços funerários</w:t>
      </w:r>
      <w:r>
        <w:rPr>
          <w:b/>
          <w:bCs/>
          <w:color w:val="auto"/>
          <w:lang w:bidi="ar-SA"/>
        </w:rPr>
        <w:t xml:space="preserve"> </w:t>
      </w:r>
      <w:r>
        <w:rPr>
          <w:color w:val="auto"/>
          <w:lang w:bidi="ar-SA"/>
        </w:rPr>
        <w:t>deverão ser prestados</w:t>
      </w:r>
      <w:r>
        <w:rPr>
          <w:b/>
          <w:bCs/>
          <w:color w:val="auto"/>
          <w:lang w:bidi="ar-SA"/>
        </w:rPr>
        <w:t xml:space="preserve"> em todo o âmbito do Município de Caxias do Sul, ininterruptamente,</w:t>
      </w:r>
      <w:r>
        <w:rPr>
          <w:color w:val="auto"/>
          <w:lang w:bidi="ar-SA"/>
        </w:rPr>
        <w:t xml:space="preserve"> inclusive aos sábados, domingos e feriados, </w:t>
      </w:r>
      <w:r>
        <w:rPr>
          <w:b/>
          <w:bCs/>
          <w:color w:val="auto"/>
          <w:lang w:bidi="ar-SA"/>
        </w:rPr>
        <w:t>24 (vinte e quatro) horas por dia</w:t>
      </w:r>
      <w:r>
        <w:rPr>
          <w:color w:val="auto"/>
          <w:lang w:bidi="ar-SA"/>
        </w:rPr>
        <w:t>, admitido o serviço de plantonista.</w:t>
      </w:r>
    </w:p>
    <w:p>
      <w:pPr>
        <w:pStyle w:val="Default"/>
        <w:jc w:val="both"/>
        <w:rPr/>
      </w:pPr>
      <w:r>
        <w:rPr>
          <w:b/>
          <w:bCs/>
          <w:color w:val="auto"/>
          <w:lang w:bidi="ar-SA"/>
        </w:rPr>
        <w:t>6. DA</w:t>
      </w:r>
      <w:r>
        <w:rPr>
          <w:b/>
          <w:bCs/>
          <w:color w:val="auto"/>
        </w:rPr>
        <w:t xml:space="preserve"> ESTRUTURA MÍNIMA A SER DISPONIBILIZADA</w:t>
      </w:r>
    </w:p>
    <w:p>
      <w:pPr>
        <w:pStyle w:val="Default"/>
        <w:jc w:val="both"/>
        <w:rPr>
          <w:bCs/>
          <w:color w:val="auto"/>
          <w:shd w:fill="FFFF00" w:val="clear"/>
          <w:lang w:bidi="ar-SA"/>
        </w:rPr>
      </w:pPr>
      <w:r>
        <w:rPr>
          <w:bCs/>
          <w:color w:val="000000"/>
          <w:shd w:fill="FFFF00" w:val="clear"/>
          <w:lang w:bidi="ar-SA"/>
        </w:rPr>
      </w:r>
    </w:p>
    <w:p>
      <w:pPr>
        <w:pStyle w:val="Default"/>
        <w:ind w:left="283"/>
        <w:jc w:val="both"/>
        <w:rPr/>
      </w:pPr>
      <w:r>
        <w:rPr>
          <w:b/>
          <w:bCs/>
          <w:color w:val="auto"/>
          <w:lang w:bidi="ar-SA"/>
        </w:rPr>
        <w:t>6.1.</w:t>
      </w:r>
      <w:r>
        <w:rPr>
          <w:bCs/>
          <w:color w:val="auto"/>
          <w:lang w:bidi="ar-SA"/>
        </w:rPr>
        <w:t xml:space="preserve"> </w:t>
      </w:r>
      <w:r>
        <w:rPr>
          <w:color w:val="auto"/>
          <w:lang w:bidi="ar-SA"/>
        </w:rPr>
        <w:t>Para a perfeita execução dos serviços, durante toda a vigência do contrato, a</w:t>
      </w:r>
      <w:r>
        <w:rPr>
          <w:color w:val="auto"/>
        </w:rPr>
        <w:t xml:space="preserve">(s) </w:t>
      </w:r>
      <w:r>
        <w:rPr>
          <w:color w:val="auto"/>
          <w:lang w:bidi="ar-SA"/>
        </w:rPr>
        <w:t>CONCESSIONÁRIA(s) deverá(ão)</w:t>
      </w:r>
      <w:r>
        <w:rPr>
          <w:color w:val="auto"/>
        </w:rPr>
        <w:t xml:space="preserve"> se instalar em dependência apropriada, conforme </w:t>
      </w:r>
      <w:r>
        <w:rPr>
          <w:kern w:val="0"/>
        </w:rPr>
        <w:t>Decreto Municipal n.º 24.134, de 19 de março de 2026</w:t>
      </w:r>
      <w:r>
        <w:rPr>
          <w:color w:val="auto"/>
        </w:rPr>
        <w:t>, e em perfeitas condições de uso, observando às exigências da legislação municipal vigente e sujeitando-se à vistoria dos órgãos municipais, bem como deverá(ão) atender a critérios mínimos, como segue:</w:t>
      </w:r>
    </w:p>
    <w:p>
      <w:pPr>
        <w:pStyle w:val="Standard"/>
        <w:jc w:val="both"/>
        <w:rPr>
          <w:rFonts w:ascii="Times New Roman" w:hAnsi="Times New Roman" w:cs="Times New Roman"/>
        </w:rPr>
      </w:pPr>
      <w:r>
        <w:rPr>
          <w:rFonts w:cs="Times New Roman" w:ascii="Times New Roman" w:hAnsi="Times New Roman"/>
        </w:rPr>
      </w:r>
    </w:p>
    <w:p>
      <w:pPr>
        <w:pStyle w:val="Standard"/>
        <w:ind w:left="567"/>
        <w:jc w:val="both"/>
        <w:rPr/>
      </w:pPr>
      <w:r>
        <w:rPr>
          <w:rFonts w:cs="Times New Roman" w:ascii="Times New Roman" w:hAnsi="Times New Roman"/>
          <w:b/>
          <w:bCs/>
        </w:rPr>
        <w:t xml:space="preserve">6.1.1. </w:t>
      </w:r>
      <w:r>
        <w:rPr>
          <w:rFonts w:cs="Times New Roman" w:ascii="Times New Roman" w:hAnsi="Times New Roman"/>
          <w:shd w:fill="FFFFFF" w:val="clear"/>
        </w:rPr>
        <w:t>Disponibilizar</w:t>
      </w:r>
      <w:r>
        <w:rPr>
          <w:rFonts w:cs="Times New Roman" w:ascii="Times New Roman" w:hAnsi="Times New Roman"/>
          <w:b/>
          <w:bCs/>
          <w:shd w:fill="FFFFFF" w:val="clear"/>
        </w:rPr>
        <w:t xml:space="preserve"> </w:t>
      </w:r>
      <w:r>
        <w:rPr>
          <w:rFonts w:cs="Times New Roman" w:ascii="Times New Roman" w:hAnsi="Times New Roman"/>
          <w:b/>
          <w:bCs/>
        </w:rPr>
        <w:t xml:space="preserve">estrutura física </w:t>
      </w:r>
      <w:r>
        <w:rPr>
          <w:rFonts w:cs="Times New Roman" w:ascii="Times New Roman" w:hAnsi="Times New Roman"/>
        </w:rPr>
        <w:t xml:space="preserve">com, </w:t>
      </w:r>
      <w:r>
        <w:rPr>
          <w:rFonts w:cs="Times New Roman" w:ascii="Times New Roman" w:hAnsi="Times New Roman"/>
          <w:shd w:fill="FFFFFF" w:val="clear"/>
        </w:rPr>
        <w:t>no mínimo:</w:t>
      </w:r>
    </w:p>
    <w:p>
      <w:pPr>
        <w:pStyle w:val="Standard"/>
        <w:ind w:left="567"/>
        <w:jc w:val="both"/>
        <w:rPr>
          <w:rFonts w:ascii="Times New Roman" w:hAnsi="Times New Roman" w:cs="Times New Roman"/>
          <w:shd w:fill="FFFFFF" w:val="clear"/>
        </w:rPr>
      </w:pPr>
      <w:r>
        <w:rPr>
          <w:rFonts w:cs="Times New Roman" w:ascii="Times New Roman" w:hAnsi="Times New Roman"/>
          <w:shd w:fill="FFFFFF" w:val="clear"/>
        </w:rPr>
      </w:r>
    </w:p>
    <w:p>
      <w:pPr>
        <w:pStyle w:val="Standard"/>
        <w:ind w:left="850"/>
        <w:jc w:val="both"/>
        <w:rPr/>
      </w:pPr>
      <w:r>
        <w:rPr>
          <w:rFonts w:cs="Times New Roman" w:ascii="Times New Roman" w:hAnsi="Times New Roman"/>
          <w:b/>
          <w:bCs/>
        </w:rPr>
        <w:t>a)</w:t>
      </w:r>
      <w:r>
        <w:rPr>
          <w:rFonts w:cs="Times New Roman" w:ascii="Times New Roman" w:hAnsi="Times New Roman"/>
        </w:rPr>
        <w:t xml:space="preserve"> sala de recepção;</w:t>
      </w:r>
    </w:p>
    <w:p>
      <w:pPr>
        <w:pStyle w:val="Standard"/>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 xml:space="preserve">b) </w:t>
      </w:r>
      <w:r>
        <w:rPr>
          <w:rFonts w:cs="Times New Roman" w:ascii="Times New Roman" w:hAnsi="Times New Roman"/>
        </w:rPr>
        <w:t>sala de exposição para urnas funerárias e materiais correlatos, sem que haja visibilidade externa;</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c)</w:t>
      </w:r>
      <w:r>
        <w:rPr>
          <w:rFonts w:cs="Times New Roman" w:ascii="Times New Roman" w:hAnsi="Times New Roman"/>
        </w:rPr>
        <w:t xml:space="preserve"> sala para manipulação de cadáveres, com instalações hidrossanitárias adequadas e sistemas de ventilação que impeçam a disseminação de odores à comunidade circunvizinha;</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d)</w:t>
      </w:r>
      <w:r>
        <w:rPr>
          <w:rFonts w:cs="Times New Roman" w:ascii="Times New Roman" w:hAnsi="Times New Roman"/>
        </w:rPr>
        <w:t xml:space="preserve"> depósito para estoque de mercadorias;</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e)</w:t>
      </w:r>
      <w:r>
        <w:rPr>
          <w:rFonts w:cs="Times New Roman" w:ascii="Times New Roman" w:hAnsi="Times New Roman"/>
        </w:rPr>
        <w:t xml:space="preserve"> instalação de sanitários, conforme Código de Edificações, observando a acessibilidade universal;</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f)</w:t>
      </w:r>
      <w:r>
        <w:rPr>
          <w:rFonts w:cs="Times New Roman" w:ascii="Times New Roman" w:hAnsi="Times New Roman"/>
        </w:rPr>
        <w:t xml:space="preserve"> 03 (três) capelas velatórias; e</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g)</w:t>
      </w:r>
      <w:r>
        <w:rPr>
          <w:rFonts w:cs="Times New Roman" w:ascii="Times New Roman" w:hAnsi="Times New Roman"/>
        </w:rPr>
        <w:t xml:space="preserve"> estacionamento próprio para os veículos de prestação de serviços funerários.</w:t>
      </w:r>
    </w:p>
    <w:p>
      <w:pPr>
        <w:pStyle w:val="Standard"/>
        <w:jc w:val="both"/>
        <w:rPr>
          <w:rFonts w:ascii="Times New Roman" w:hAnsi="Times New Roman" w:cs="Times New Roman"/>
        </w:rPr>
      </w:pPr>
      <w:r>
        <w:rPr>
          <w:rFonts w:cs="Times New Roman" w:ascii="Times New Roman" w:hAnsi="Times New Roman"/>
        </w:rPr>
      </w:r>
    </w:p>
    <w:p>
      <w:pPr>
        <w:pStyle w:val="Standard"/>
        <w:ind w:left="567"/>
        <w:jc w:val="both"/>
        <w:rPr/>
      </w:pPr>
      <w:r>
        <w:rPr>
          <w:rFonts w:cs="Times New Roman" w:ascii="Times New Roman" w:hAnsi="Times New Roman"/>
          <w:b/>
          <w:bCs/>
        </w:rPr>
        <w:t xml:space="preserve">6.1.2. </w:t>
      </w:r>
      <w:r>
        <w:rPr>
          <w:rFonts w:cs="Times New Roman" w:ascii="Times New Roman" w:hAnsi="Times New Roman"/>
        </w:rPr>
        <w:t>Disponibilizar,</w:t>
      </w:r>
      <w:r>
        <w:rPr>
          <w:rFonts w:cs="Times New Roman" w:ascii="Times New Roman" w:hAnsi="Times New Roman"/>
          <w:b/>
          <w:bCs/>
        </w:rPr>
        <w:t xml:space="preserve"> </w:t>
      </w:r>
      <w:r>
        <w:rPr>
          <w:rFonts w:cs="Times New Roman" w:ascii="Times New Roman" w:hAnsi="Times New Roman"/>
        </w:rPr>
        <w:t>no mínimo,</w:t>
      </w:r>
      <w:r>
        <w:rPr>
          <w:rFonts w:cs="Times New Roman" w:ascii="Times New Roman" w:hAnsi="Times New Roman"/>
          <w:b/>
          <w:bCs/>
        </w:rPr>
        <w:t xml:space="preserve"> 03 (três) capelas velatórias </w:t>
      </w:r>
      <w:r>
        <w:rPr>
          <w:rFonts w:cs="Times New Roman" w:ascii="Times New Roman" w:hAnsi="Times New Roman"/>
        </w:rPr>
        <w:t>com:</w:t>
      </w:r>
    </w:p>
    <w:p>
      <w:pPr>
        <w:pStyle w:val="Default"/>
        <w:jc w:val="both"/>
        <w:rPr>
          <w:b/>
          <w:bCs/>
          <w:color w:val="auto"/>
        </w:rPr>
      </w:pPr>
      <w:r>
        <w:rPr>
          <w:b/>
          <w:bCs/>
          <w:color w:val="auto"/>
        </w:rPr>
      </w:r>
    </w:p>
    <w:p>
      <w:pPr>
        <w:pStyle w:val="Textbody"/>
        <w:spacing w:lineRule="auto" w:line="240" w:before="0" w:after="0"/>
        <w:ind w:left="850"/>
        <w:jc w:val="both"/>
        <w:rPr/>
      </w:pPr>
      <w:r>
        <w:rPr>
          <w:rFonts w:cs="Times New Roman" w:ascii="Times New Roman" w:hAnsi="Times New Roman"/>
          <w:b/>
          <w:bCs/>
        </w:rPr>
        <w:t>a)</w:t>
      </w:r>
      <w:r>
        <w:rPr>
          <w:rFonts w:cs="Times New Roman" w:ascii="Times New Roman" w:hAnsi="Times New Roman"/>
        </w:rPr>
        <w:t xml:space="preserve"> área mínima de 60 m² (sessenta metros quadrados), descontando-se os sanitários e área reservada;</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b)</w:t>
      </w:r>
      <w:r>
        <w:rPr>
          <w:rFonts w:cs="Times New Roman" w:ascii="Times New Roman" w:hAnsi="Times New Roman"/>
        </w:rPr>
        <w:t xml:space="preserve"> 01 (uma) sala reservada para os familiares;</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c)</w:t>
      </w:r>
      <w:r>
        <w:rPr>
          <w:rFonts w:cs="Times New Roman" w:ascii="Times New Roman" w:hAnsi="Times New Roman"/>
        </w:rPr>
        <w:t xml:space="preserve"> 01 (um) sanitário privativo e adaptado para pessoas com deficiência;</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d)</w:t>
      </w:r>
      <w:r>
        <w:rPr>
          <w:rFonts w:cs="Times New Roman" w:ascii="Times New Roman" w:hAnsi="Times New Roman"/>
        </w:rPr>
        <w:t xml:space="preserve"> quantidade adequada de assentos, estofados, considerando as dimensões da sala velatória;</w:t>
      </w:r>
    </w:p>
    <w:p>
      <w:pPr>
        <w:pStyle w:val="Textbody"/>
        <w:spacing w:lineRule="auto" w:line="240" w:before="0" w:after="0"/>
        <w:ind w:left="850"/>
        <w:jc w:val="both"/>
        <w:rPr>
          <w:rFonts w:ascii="Times New Roman" w:hAnsi="Times New Roman" w:cs="Times New Roman"/>
        </w:rPr>
      </w:pPr>
      <w:r>
        <w:rPr>
          <w:rFonts w:cs="Times New Roman" w:ascii="Times New Roman" w:hAnsi="Times New Roman"/>
        </w:rPr>
      </w:r>
    </w:p>
    <w:p>
      <w:pPr>
        <w:pStyle w:val="Textbody"/>
        <w:spacing w:lineRule="auto" w:line="240" w:before="0" w:after="0"/>
        <w:ind w:left="850"/>
        <w:jc w:val="both"/>
        <w:rPr/>
      </w:pPr>
      <w:r>
        <w:rPr>
          <w:rFonts w:cs="Times New Roman" w:ascii="Times New Roman" w:hAnsi="Times New Roman"/>
          <w:b/>
          <w:bCs/>
        </w:rPr>
        <w:t>e)</w:t>
      </w:r>
      <w:r>
        <w:rPr>
          <w:rFonts w:cs="Times New Roman" w:ascii="Times New Roman" w:hAnsi="Times New Roman"/>
        </w:rPr>
        <w:t xml:space="preserve"> ventilação cruzada e/ou mecânica (ar-condicionado).</w:t>
      </w:r>
    </w:p>
    <w:p>
      <w:pPr>
        <w:pStyle w:val="Textbody"/>
        <w:spacing w:lineRule="auto" w:line="240" w:before="0" w:after="0"/>
        <w:jc w:val="both"/>
        <w:rPr>
          <w:rFonts w:ascii="Times New Roman" w:hAnsi="Times New Roman" w:cs="Times New Roman"/>
          <w:b/>
          <w:bCs/>
        </w:rPr>
      </w:pPr>
      <w:r>
        <w:rPr>
          <w:rFonts w:cs="Times New Roman" w:ascii="Times New Roman" w:hAnsi="Times New Roman"/>
          <w:b/>
          <w:bCs/>
        </w:rPr>
      </w:r>
    </w:p>
    <w:p>
      <w:pPr>
        <w:pStyle w:val="Textbody"/>
        <w:spacing w:lineRule="auto" w:line="240" w:before="0" w:after="0"/>
        <w:ind w:left="1276"/>
        <w:jc w:val="both"/>
        <w:rPr/>
      </w:pPr>
      <w:r>
        <w:rPr>
          <w:rFonts w:cs="Times New Roman" w:ascii="Times New Roman" w:hAnsi="Times New Roman"/>
          <w:b/>
          <w:bCs/>
        </w:rPr>
        <w:t xml:space="preserve">6.1.2.1. </w:t>
      </w:r>
      <w:r>
        <w:rPr>
          <w:rFonts w:cs="Times New Roman" w:ascii="Times New Roman" w:hAnsi="Times New Roman"/>
          <w:bCs/>
        </w:rPr>
        <w:t>As capelas velatórias disponibilizadas pela CONCESSIONÁRIA poderão ser de propriedade de terceiro, desde que demonstrado o direito de uso, exclusivo ou não, por parte da CONCESSIONÁRIA sob o respectivo local por período não inferior ao prazo do Contrato de Concessão celebrado em decorrência do Edital.</w:t>
      </w:r>
    </w:p>
    <w:p>
      <w:pPr>
        <w:pStyle w:val="Textbody"/>
        <w:spacing w:lineRule="auto" w:line="240" w:before="0" w:after="0"/>
        <w:ind w:left="283"/>
        <w:jc w:val="both"/>
        <w:rPr>
          <w:rFonts w:ascii="Times New Roman" w:hAnsi="Times New Roman" w:cs="Times New Roman"/>
        </w:rPr>
      </w:pPr>
      <w:r>
        <w:rPr>
          <w:rFonts w:cs="Times New Roman" w:ascii="Times New Roman" w:hAnsi="Times New Roman"/>
        </w:rPr>
      </w:r>
    </w:p>
    <w:p>
      <w:pPr>
        <w:pStyle w:val="Standard"/>
        <w:ind w:left="567"/>
        <w:jc w:val="both"/>
        <w:rPr/>
      </w:pPr>
      <w:r>
        <w:rPr>
          <w:rFonts w:cs="Times New Roman" w:ascii="Times New Roman" w:hAnsi="Times New Roman"/>
          <w:b/>
          <w:bCs/>
        </w:rPr>
        <w:t xml:space="preserve">6.1.3. </w:t>
      </w:r>
      <w:r>
        <w:rPr>
          <w:rFonts w:cs="Times New Roman" w:ascii="Times New Roman" w:hAnsi="Times New Roman"/>
          <w:shd w:fill="FFFFFF" w:val="clear"/>
        </w:rPr>
        <w:t xml:space="preserve">Disponibilizar, no mínimo, </w:t>
      </w:r>
      <w:r>
        <w:rPr>
          <w:rFonts w:cs="Times New Roman" w:ascii="Times New Roman" w:hAnsi="Times New Roman"/>
          <w:b/>
          <w:bCs/>
          <w:shd w:fill="FFFFFF" w:val="clear"/>
        </w:rPr>
        <w:t xml:space="preserve">03 (três) </w:t>
      </w:r>
      <w:r>
        <w:rPr>
          <w:rFonts w:cs="Times New Roman" w:ascii="Times New Roman" w:hAnsi="Times New Roman"/>
          <w:b/>
          <w:bCs/>
        </w:rPr>
        <w:t xml:space="preserve">veículos </w:t>
      </w:r>
      <w:r>
        <w:rPr>
          <w:rFonts w:cs="Times New Roman" w:ascii="Times New Roman" w:hAnsi="Times New Roman"/>
          <w:b/>
        </w:rPr>
        <w:t>para a remoção de cadáveres, transporte de corpos para o sepultamento e outros serviços auxiliares, observando que:</w:t>
      </w:r>
    </w:p>
    <w:p>
      <w:pPr>
        <w:pStyle w:val="Default"/>
        <w:jc w:val="both"/>
        <w:rPr>
          <w:b/>
          <w:color w:val="auto"/>
        </w:rPr>
      </w:pPr>
      <w:r>
        <w:rPr>
          <w:b/>
          <w:color w:val="auto"/>
        </w:rPr>
        <w:t xml:space="preserve">  </w:t>
      </w:r>
    </w:p>
    <w:p>
      <w:pPr>
        <w:pStyle w:val="Default"/>
        <w:ind w:left="850"/>
        <w:jc w:val="both"/>
        <w:rPr/>
      </w:pPr>
      <w:r>
        <w:rPr>
          <w:b/>
          <w:bCs/>
          <w:color w:val="auto"/>
        </w:rPr>
        <w:t xml:space="preserve">a) </w:t>
      </w:r>
      <w:r>
        <w:rPr>
          <w:b/>
          <w:color w:val="auto"/>
        </w:rPr>
        <w:t>os veículos deverão estar registrados, em nome da CONCESSIONÁRIA e em perfeitas condições de uso;</w:t>
      </w:r>
    </w:p>
    <w:p>
      <w:pPr>
        <w:pStyle w:val="Default"/>
        <w:ind w:left="850"/>
        <w:jc w:val="both"/>
        <w:rPr>
          <w:b/>
          <w:color w:val="auto"/>
        </w:rPr>
      </w:pPr>
      <w:r>
        <w:rPr>
          <w:b/>
          <w:color w:val="auto"/>
        </w:rPr>
      </w:r>
    </w:p>
    <w:p>
      <w:pPr>
        <w:pStyle w:val="Default"/>
        <w:ind w:left="850"/>
        <w:jc w:val="both"/>
        <w:rPr/>
      </w:pPr>
      <w:r>
        <w:rPr>
          <w:b/>
          <w:bCs/>
          <w:color w:val="auto"/>
        </w:rPr>
        <w:t>b)</w:t>
      </w:r>
      <w:r>
        <w:rPr>
          <w:b/>
          <w:color w:val="auto"/>
        </w:rPr>
        <w:t xml:space="preserve"> a quantidade deve ser suficiente para atender a demanda, sendo em número mínimo de 03 (três), com idade média de 10 (dez) anos, e em perfeitas condições de uso</w:t>
      </w:r>
      <w:r>
        <w:rPr>
          <w:color w:val="auto"/>
        </w:rPr>
        <w:t>;</w:t>
      </w:r>
    </w:p>
    <w:p>
      <w:pPr>
        <w:pStyle w:val="Default"/>
        <w:ind w:left="850"/>
        <w:jc w:val="both"/>
        <w:rPr>
          <w:color w:val="auto"/>
        </w:rPr>
      </w:pPr>
      <w:r>
        <w:rPr>
          <w:color w:val="auto"/>
        </w:rPr>
      </w:r>
    </w:p>
    <w:p>
      <w:pPr>
        <w:pStyle w:val="Default"/>
        <w:ind w:left="850"/>
        <w:jc w:val="both"/>
        <w:rPr/>
      </w:pPr>
      <w:r>
        <w:rPr>
          <w:b/>
          <w:bCs/>
          <w:color w:val="auto"/>
        </w:rPr>
        <w:t xml:space="preserve">c) </w:t>
      </w:r>
      <w:r>
        <w:rPr>
          <w:color w:val="auto"/>
        </w:rPr>
        <w:t>serem exclusivamente utilizados para o serviço funerário;</w:t>
      </w:r>
    </w:p>
    <w:p>
      <w:pPr>
        <w:pStyle w:val="Default"/>
        <w:ind w:left="850"/>
        <w:jc w:val="both"/>
        <w:rPr>
          <w:color w:val="auto"/>
        </w:rPr>
      </w:pPr>
      <w:r>
        <w:rPr>
          <w:color w:val="auto"/>
        </w:rPr>
      </w:r>
    </w:p>
    <w:p>
      <w:pPr>
        <w:pStyle w:val="Default"/>
        <w:ind w:left="850"/>
        <w:jc w:val="both"/>
        <w:rPr/>
      </w:pPr>
      <w:r>
        <w:rPr>
          <w:b/>
          <w:bCs/>
          <w:color w:val="auto"/>
        </w:rPr>
        <w:t xml:space="preserve">d) </w:t>
      </w:r>
      <w:r>
        <w:rPr>
          <w:color w:val="auto"/>
        </w:rPr>
        <w:t>estarem à disposição do serviço dentro dos limites do CONCEDENTE;</w:t>
      </w:r>
    </w:p>
    <w:p>
      <w:pPr>
        <w:pStyle w:val="Default"/>
        <w:ind w:left="850"/>
        <w:jc w:val="both"/>
        <w:rPr>
          <w:color w:val="auto"/>
        </w:rPr>
      </w:pPr>
      <w:r>
        <w:rPr>
          <w:color w:val="auto"/>
        </w:rPr>
      </w:r>
    </w:p>
    <w:p>
      <w:pPr>
        <w:pStyle w:val="Default"/>
        <w:ind w:left="850"/>
        <w:jc w:val="both"/>
        <w:rPr/>
      </w:pPr>
      <w:r>
        <w:rPr>
          <w:b/>
          <w:bCs/>
          <w:color w:val="auto"/>
        </w:rPr>
        <w:t xml:space="preserve">e) </w:t>
      </w:r>
      <w:r>
        <w:rPr>
          <w:color w:val="auto"/>
        </w:rPr>
        <w:t>todos os veículos deverão estar devidamente identificados como concessionários do serviço funerário.</w:t>
      </w:r>
    </w:p>
    <w:p>
      <w:pPr>
        <w:pStyle w:val="Default"/>
        <w:jc w:val="both"/>
        <w:rPr>
          <w:b/>
          <w:color w:val="auto"/>
        </w:rPr>
      </w:pPr>
      <w:r>
        <w:rPr>
          <w:b/>
          <w:color w:val="auto"/>
        </w:rPr>
      </w:r>
    </w:p>
    <w:p>
      <w:pPr>
        <w:pStyle w:val="Default"/>
        <w:tabs>
          <w:tab w:val="clear" w:pos="720"/>
          <w:tab w:val="left" w:pos="2842" w:leader="none"/>
        </w:tabs>
        <w:ind w:left="567"/>
        <w:jc w:val="both"/>
        <w:rPr/>
      </w:pPr>
      <w:r>
        <w:rPr>
          <w:b/>
          <w:bCs/>
          <w:color w:val="auto"/>
        </w:rPr>
        <w:t>6.1.4.</w:t>
      </w:r>
      <w:r>
        <w:rPr>
          <w:b/>
          <w:color w:val="auto"/>
        </w:rPr>
        <w:t xml:space="preserve"> </w:t>
      </w:r>
      <w:r>
        <w:rPr>
          <w:color w:val="auto"/>
        </w:rPr>
        <w:t>Manter</w:t>
      </w:r>
      <w:r>
        <w:rPr>
          <w:b/>
          <w:bCs/>
          <w:color w:val="auto"/>
        </w:rPr>
        <w:t xml:space="preserve"> estoque mínimo de 80 (oitenta) ataúdes,</w:t>
      </w:r>
      <w:r>
        <w:rPr>
          <w:color w:val="auto"/>
        </w:rPr>
        <w:t xml:space="preserve"> dos tipos previstos no artigo 5.º do </w:t>
      </w:r>
      <w:r>
        <w:rPr>
          <w:kern w:val="0"/>
        </w:rPr>
        <w:t xml:space="preserve">Decreto Municipal n.º 24.134, de 19 de março de 2026 </w:t>
      </w:r>
      <w:r>
        <w:rPr>
          <w:color w:val="auto"/>
        </w:rPr>
        <w:t>e mostruário completo dos ataúdes previstos para o serviço funerário essencial.</w:t>
      </w:r>
    </w:p>
    <w:p>
      <w:pPr>
        <w:pStyle w:val="Default"/>
        <w:jc w:val="both"/>
        <w:rPr>
          <w:color w:val="auto"/>
        </w:rPr>
      </w:pPr>
      <w:r>
        <w:rPr>
          <w:color w:val="auto"/>
        </w:rPr>
      </w:r>
    </w:p>
    <w:p>
      <w:pPr>
        <w:pStyle w:val="Default"/>
        <w:jc w:val="both"/>
        <w:rPr/>
      </w:pPr>
      <w:r>
        <w:rPr>
          <w:b/>
          <w:color w:val="auto"/>
        </w:rPr>
        <w:t>7. DOS SERVIÇOS FUNERÁRIOS PERSONALIZADOS</w:t>
      </w:r>
    </w:p>
    <w:p>
      <w:pPr>
        <w:pStyle w:val="Default"/>
        <w:jc w:val="both"/>
        <w:rPr>
          <w:b/>
          <w:color w:val="auto"/>
        </w:rPr>
      </w:pPr>
      <w:r>
        <w:rPr>
          <w:b/>
          <w:color w:val="auto"/>
        </w:rPr>
      </w:r>
    </w:p>
    <w:p>
      <w:pPr>
        <w:pStyle w:val="Default"/>
        <w:jc w:val="both"/>
        <w:rPr/>
      </w:pPr>
      <w:r>
        <w:rPr>
          <w:b/>
          <w:bCs/>
          <w:color w:val="auto"/>
        </w:rPr>
        <w:t xml:space="preserve">7.1. </w:t>
      </w:r>
      <w:r>
        <w:rPr>
          <w:color w:val="auto"/>
        </w:rPr>
        <w:t>É livre à(s) CONCESSIONÁRIA(s)</w:t>
      </w:r>
      <w:r>
        <w:rPr>
          <w:b/>
          <w:color w:val="auto"/>
        </w:rPr>
        <w:t xml:space="preserve"> </w:t>
      </w:r>
      <w:r>
        <w:rPr>
          <w:color w:val="auto"/>
        </w:rPr>
        <w:t>a oferta de serviços funerários personalizados, com o fornecimento de produtos e serviços diferenciados para a organização e realização do funeral, que serão contratados a critério dos usuários, a sua livre escolha.</w:t>
      </w:r>
    </w:p>
    <w:p>
      <w:pPr>
        <w:pStyle w:val="Default"/>
        <w:jc w:val="both"/>
        <w:rPr>
          <w:b/>
          <w:color w:val="auto"/>
        </w:rPr>
      </w:pPr>
      <w:r>
        <w:rPr>
          <w:b/>
          <w:color w:val="auto"/>
        </w:rPr>
      </w:r>
    </w:p>
    <w:p>
      <w:pPr>
        <w:pStyle w:val="Default"/>
        <w:jc w:val="both"/>
        <w:rPr>
          <w:b/>
          <w:color w:val="auto"/>
        </w:rPr>
      </w:pPr>
      <w:r>
        <w:rPr>
          <w:b/>
          <w:color w:val="auto"/>
        </w:rPr>
        <w:t>8. DOS PREÇOS DA TARIFA DOS SERVIÇOS FUNERÁRIOS ESSENCIAIS, DO REAJUSTAMENTO E DA REVISÃO</w:t>
      </w:r>
    </w:p>
    <w:p>
      <w:pPr>
        <w:pStyle w:val="Default"/>
        <w:jc w:val="both"/>
        <w:rPr>
          <w:b/>
          <w:color w:val="auto"/>
        </w:rPr>
      </w:pPr>
      <w:r>
        <w:rPr>
          <w:b/>
          <w:color w:val="auto"/>
        </w:rPr>
      </w:r>
    </w:p>
    <w:p>
      <w:pPr>
        <w:pStyle w:val="Default"/>
        <w:jc w:val="both"/>
        <w:rPr/>
      </w:pPr>
      <w:r>
        <w:rPr>
          <w:b/>
          <w:color w:val="auto"/>
        </w:rPr>
        <w:t xml:space="preserve">8.1. </w:t>
      </w:r>
      <w:r>
        <w:rPr>
          <w:bCs/>
          <w:color w:val="auto"/>
        </w:rPr>
        <w:t xml:space="preserve">Conforme deliberação da Comissão Técnico Administrativa dos Serviços Funerários (COMTCNA), bem como o disposto no art. 14 do </w:t>
      </w:r>
      <w:r>
        <w:rPr>
          <w:kern w:val="0"/>
        </w:rPr>
        <w:t>Decreto Municipal n.º 24.134, de 19 de março de 2026</w:t>
      </w:r>
      <w:r>
        <w:rPr>
          <w:bCs/>
          <w:color w:val="auto"/>
        </w:rPr>
        <w:t>,</w:t>
      </w:r>
      <w:r>
        <w:rPr>
          <w:color w:val="auto"/>
        </w:rPr>
        <w:t xml:space="preserve"> os valores dos serviços funerários essenciais descritos no item 6, não deverão ser inferiores ou superiores:</w:t>
      </w:r>
    </w:p>
    <w:p>
      <w:pPr>
        <w:pStyle w:val="Default"/>
        <w:ind w:left="283"/>
        <w:jc w:val="both"/>
        <w:rPr>
          <w:color w:val="auto"/>
        </w:rPr>
      </w:pPr>
      <w:r>
        <w:rPr>
          <w:color w:val="auto"/>
        </w:rPr>
      </w:r>
    </w:p>
    <w:p>
      <w:pPr>
        <w:pStyle w:val="Standard"/>
        <w:ind w:left="283"/>
        <w:jc w:val="both"/>
        <w:rPr/>
      </w:pPr>
      <w:r>
        <w:rPr>
          <w:rFonts w:cs="Times New Roman" w:ascii="Times New Roman" w:hAnsi="Times New Roman"/>
          <w:b/>
          <w:bCs/>
        </w:rPr>
        <w:t xml:space="preserve">a) </w:t>
      </w:r>
      <w:r>
        <w:rPr>
          <w:rFonts w:cs="Times New Roman" w:ascii="Times New Roman" w:hAnsi="Times New Roman"/>
        </w:rPr>
        <w:t>ao valor em reais que corresponde a 65 (sessenta e cinco) Valores de Referência Municipal (VRMs), para o Padrão I – Básico/Simples; e</w:t>
      </w:r>
    </w:p>
    <w:p>
      <w:pPr>
        <w:pStyle w:val="Standard"/>
        <w:ind w:left="283"/>
        <w:jc w:val="both"/>
        <w:rPr>
          <w:rFonts w:ascii="Times New Roman" w:hAnsi="Times New Roman" w:cs="Times New Roman"/>
        </w:rPr>
      </w:pPr>
      <w:r>
        <w:rPr>
          <w:rFonts w:cs="Times New Roman" w:ascii="Times New Roman" w:hAnsi="Times New Roman"/>
        </w:rPr>
      </w:r>
    </w:p>
    <w:p>
      <w:pPr>
        <w:pStyle w:val="Standard"/>
        <w:ind w:left="283"/>
        <w:jc w:val="both"/>
        <w:rPr>
          <w:rFonts w:ascii="Times New Roman" w:hAnsi="Times New Roman" w:cs="Times New Roman"/>
        </w:rPr>
      </w:pPr>
      <w:r>
        <w:rPr>
          <w:rFonts w:cs="Times New Roman" w:ascii="Times New Roman" w:hAnsi="Times New Roman"/>
          <w:b/>
          <w:bCs/>
        </w:rPr>
        <w:t xml:space="preserve">b) </w:t>
      </w:r>
      <w:r>
        <w:rPr>
          <w:rFonts w:cs="Times New Roman" w:ascii="Times New Roman" w:hAnsi="Times New Roman"/>
        </w:rPr>
        <w:t>ao valor em reais que corresponde a 70 (setenta) Valores de Referência Municipal (VRMs), para o Padrão II – Especial;</w:t>
      </w:r>
    </w:p>
    <w:p>
      <w:pPr>
        <w:pStyle w:val="Standard"/>
        <w:ind w:left="283"/>
        <w:jc w:val="both"/>
        <w:rPr>
          <w:rFonts w:ascii="Times New Roman" w:hAnsi="Times New Roman" w:cs="Times New Roman"/>
        </w:rPr>
      </w:pPr>
      <w:r>
        <w:rPr>
          <w:rFonts w:cs="Times New Roman" w:ascii="Times New Roman" w:hAnsi="Times New Roman"/>
        </w:rPr>
      </w:r>
    </w:p>
    <w:p>
      <w:pPr>
        <w:pStyle w:val="Standard"/>
        <w:ind w:left="283"/>
        <w:jc w:val="both"/>
        <w:rPr>
          <w:rFonts w:ascii="Times New Roman" w:hAnsi="Times New Roman" w:cs="Times New Roman"/>
          <w:bCs/>
        </w:rPr>
      </w:pPr>
      <w:r>
        <w:rPr>
          <w:rFonts w:cs="Times New Roman" w:ascii="Times New Roman" w:hAnsi="Times New Roman"/>
          <w:b/>
          <w:bCs/>
        </w:rPr>
        <w:t xml:space="preserve">c) </w:t>
      </w:r>
      <w:r>
        <w:rPr>
          <w:rFonts w:cs="Times New Roman" w:ascii="Times New Roman" w:hAnsi="Times New Roman"/>
          <w:bCs/>
        </w:rPr>
        <w:t>ao valor em reais que corresponde a 35 (trinta e cinco) Valores de Referência Municipal (VRMs)</w:t>
      </w:r>
    </w:p>
    <w:p>
      <w:pPr>
        <w:pStyle w:val="Standard"/>
        <w:ind w:left="283"/>
        <w:jc w:val="both"/>
        <w:rPr>
          <w:rFonts w:ascii="Times New Roman" w:hAnsi="Times New Roman" w:cs="Times New Roman"/>
          <w:bCs/>
        </w:rPr>
      </w:pPr>
      <w:r>
        <w:rPr>
          <w:rFonts w:cs="Times New Roman" w:ascii="Times New Roman" w:hAnsi="Times New Roman"/>
          <w:bCs/>
        </w:rPr>
        <w:t>quando se tratar de serviço especial infantil.</w:t>
      </w:r>
    </w:p>
    <w:p>
      <w:pPr>
        <w:pStyle w:val="Default"/>
        <w:ind w:left="567"/>
        <w:jc w:val="both"/>
        <w:rPr>
          <w:b/>
          <w:color w:val="auto"/>
        </w:rPr>
      </w:pPr>
      <w:r>
        <w:rPr>
          <w:b/>
          <w:color w:val="auto"/>
        </w:rPr>
      </w:r>
    </w:p>
    <w:p>
      <w:pPr>
        <w:pStyle w:val="Default"/>
        <w:jc w:val="both"/>
        <w:rPr/>
      </w:pPr>
      <w:r>
        <w:rPr>
          <w:b/>
          <w:color w:val="auto"/>
        </w:rPr>
        <w:t xml:space="preserve">8.2. </w:t>
      </w:r>
      <w:r>
        <w:rPr>
          <w:color w:val="auto"/>
        </w:rPr>
        <w:t>A(s) CONCESSIONÁRIA(s) será(ão) remunerada(s) unicamente pelo usuário, salvo em caso de serviços a serem contratados pelo CONCEDENTE.</w:t>
      </w:r>
    </w:p>
    <w:p>
      <w:pPr>
        <w:pStyle w:val="Default"/>
        <w:ind w:left="283"/>
        <w:jc w:val="both"/>
        <w:rPr>
          <w:color w:val="auto"/>
        </w:rPr>
      </w:pPr>
      <w:r>
        <w:rPr>
          <w:color w:val="auto"/>
        </w:rPr>
      </w:r>
    </w:p>
    <w:p>
      <w:pPr>
        <w:pStyle w:val="Default"/>
        <w:jc w:val="both"/>
        <w:rPr/>
      </w:pPr>
      <w:r>
        <w:rPr>
          <w:b/>
          <w:color w:val="auto"/>
        </w:rPr>
        <w:t xml:space="preserve">8.3. </w:t>
      </w:r>
      <w:r>
        <w:rPr>
          <w:color w:val="auto"/>
        </w:rPr>
        <w:t>Qualquer alteração em impostos pertinentes aos serviços prestados, taxas e tributos que venham a ser criados, extintos ou modificados durante a vigência dos contratos de concessão, poderá implicar na revisão dos valores, para mais ou para menos, conforme o caso.</w:t>
      </w:r>
    </w:p>
    <w:p>
      <w:pPr>
        <w:pStyle w:val="Default"/>
        <w:ind w:left="289"/>
        <w:jc w:val="both"/>
        <w:rPr>
          <w:color w:val="auto"/>
        </w:rPr>
      </w:pPr>
      <w:r>
        <w:rPr>
          <w:color w:val="auto"/>
        </w:rPr>
      </w:r>
    </w:p>
    <w:p>
      <w:pPr>
        <w:pStyle w:val="Default"/>
        <w:jc w:val="both"/>
        <w:rPr/>
      </w:pPr>
      <w:r>
        <w:rPr>
          <w:b/>
          <w:color w:val="auto"/>
        </w:rPr>
        <w:t xml:space="preserve">8.4. </w:t>
      </w:r>
      <w:r>
        <w:rPr>
          <w:color w:val="auto"/>
        </w:rPr>
        <w:t>Os valores deverão ficar expostos em local visível ao usuário, de forma a permitir sua verificação sempre que conveniente ou para esclarecimento de eventuais dúvidas.</w:t>
      </w:r>
    </w:p>
    <w:p>
      <w:pPr>
        <w:pStyle w:val="Default"/>
        <w:ind w:left="289"/>
        <w:jc w:val="both"/>
        <w:rPr>
          <w:b/>
          <w:color w:val="auto"/>
        </w:rPr>
      </w:pPr>
      <w:r>
        <w:rPr>
          <w:b/>
          <w:color w:val="auto"/>
        </w:rPr>
      </w:r>
    </w:p>
    <w:p>
      <w:pPr>
        <w:pStyle w:val="Default"/>
        <w:jc w:val="both"/>
        <w:rPr/>
      </w:pPr>
      <w:r>
        <w:rPr>
          <w:b/>
          <w:color w:val="auto"/>
        </w:rPr>
        <w:t xml:space="preserve">8.5. </w:t>
      </w:r>
      <w:r>
        <w:rPr>
          <w:color w:val="auto"/>
        </w:rPr>
        <w:t>É obrigatória a prestação de serviço funerário de qualidade superior em caso de indisponibilidade de material do serviço funerário essencial escolhido pelo usuário, sendo vedada a cobrança de qualquer valor adicional.</w:t>
      </w:r>
    </w:p>
    <w:p>
      <w:pPr>
        <w:pStyle w:val="Default"/>
        <w:jc w:val="both"/>
        <w:rPr>
          <w:b/>
          <w:color w:val="auto"/>
        </w:rPr>
      </w:pPr>
      <w:r>
        <w:rPr>
          <w:b/>
          <w:color w:val="auto"/>
        </w:rPr>
      </w:r>
    </w:p>
    <w:p>
      <w:pPr>
        <w:pStyle w:val="Default"/>
        <w:jc w:val="both"/>
        <w:rPr>
          <w:b/>
          <w:color w:val="auto"/>
        </w:rPr>
      </w:pPr>
      <w:r>
        <w:rPr>
          <w:b/>
          <w:color w:val="auto"/>
        </w:rPr>
        <w:t>9. DO VALOR E DAS CONDIÇÕES DA OUTORGA</w:t>
      </w:r>
    </w:p>
    <w:p>
      <w:pPr>
        <w:pStyle w:val="Default"/>
        <w:jc w:val="both"/>
        <w:rPr>
          <w:b/>
          <w:color w:val="auto"/>
        </w:rPr>
      </w:pPr>
      <w:r>
        <w:rPr>
          <w:b/>
          <w:color w:val="auto"/>
        </w:rPr>
      </w:r>
    </w:p>
    <w:p>
      <w:pPr>
        <w:pStyle w:val="Standard"/>
        <w:jc w:val="both"/>
        <w:rPr>
          <w:rFonts w:ascii="Times New Roman" w:hAnsi="Times New Roman" w:cs="Times New Roman"/>
        </w:rPr>
      </w:pPr>
      <w:r>
        <w:rPr>
          <w:rFonts w:cs="Times New Roman" w:ascii="Times New Roman" w:hAnsi="Times New Roman"/>
          <w:b/>
          <w:bCs/>
        </w:rPr>
        <w:t>9.1</w:t>
      </w:r>
      <w:r>
        <w:rPr>
          <w:rFonts w:cs="Times New Roman" w:ascii="Times New Roman" w:hAnsi="Times New Roman"/>
        </w:rPr>
        <w:t xml:space="preserve"> Os serviços funerários serão concedidos mediante pagamentos da outorga fixa, por parte da(s) CONCESSIONÁRIA(s) ao CONCEDENTE, em (10) dez parcelas, cujo valor total corresponde à proposta de cada empresa, a qual será igual ou superior ao valor mínimo de </w:t>
      </w:r>
      <w:r>
        <w:rPr>
          <w:rFonts w:cs="Times New Roman" w:ascii="Times New Roman" w:hAnsi="Times New Roman"/>
          <w:b/>
          <w:bCs/>
          <w:color w:val="000000"/>
        </w:rPr>
        <w:t xml:space="preserve">R$ 57.718,45 </w:t>
      </w:r>
      <w:r>
        <w:rPr>
          <w:rFonts w:cs="Times New Roman" w:ascii="Times New Roman" w:hAnsi="Times New Roman"/>
          <w:color w:val="000000"/>
        </w:rPr>
        <w:t>(cinquenta e sete mil, setecentos e dezoito reais e quarenta e cinco centavos)</w:t>
      </w:r>
      <w:r>
        <w:rPr>
          <w:rFonts w:cs="Times New Roman" w:ascii="Times New Roman" w:hAnsi="Times New Roman"/>
        </w:rPr>
        <w:t xml:space="preserve">, totalizando o valor de </w:t>
      </w:r>
      <w:r>
        <w:rPr>
          <w:rFonts w:cs="Times New Roman" w:ascii="Times New Roman" w:hAnsi="Times New Roman"/>
          <w:b/>
        </w:rPr>
        <w:t>R$ 577.184,50</w:t>
      </w:r>
      <w:r>
        <w:rPr>
          <w:rFonts w:cs="Times New Roman" w:ascii="Times New Roman" w:hAnsi="Times New Roman"/>
        </w:rPr>
        <w:t xml:space="preserve"> (quinhentos e setenta e sete mil, cento e oitenta e quatro reais e cinquenta centavos), observado o disposto no subitem 6.1.1. do Anexo I - FORMA E CRITÉRIOS DE SELEÇÃO DA(S) PARTICIPANTE(S) deste TERMO DE REFERÊNCIA.</w:t>
      </w:r>
    </w:p>
    <w:p>
      <w:pPr>
        <w:pStyle w:val="Standard"/>
        <w:jc w:val="both"/>
        <w:rPr/>
      </w:pPr>
      <w:r>
        <w:rPr/>
      </w:r>
    </w:p>
    <w:p>
      <w:pPr>
        <w:pStyle w:val="Textbody"/>
        <w:spacing w:lineRule="auto" w:line="240" w:before="0" w:after="0"/>
        <w:ind w:left="283"/>
        <w:jc w:val="both"/>
        <w:rPr/>
      </w:pPr>
      <w:r>
        <w:rPr>
          <w:rFonts w:cs="Times New Roman" w:ascii="Times New Roman" w:hAnsi="Times New Roman"/>
          <w:b/>
          <w:bCs/>
        </w:rPr>
        <w:t>9.1.1.</w:t>
      </w:r>
      <w:r>
        <w:rPr>
          <w:rFonts w:cs="Times New Roman" w:ascii="Times New Roman" w:hAnsi="Times New Roman"/>
        </w:rPr>
        <w:t xml:space="preserve"> </w:t>
      </w:r>
      <w:bookmarkStart w:id="1" w:name="_Hlk205795921"/>
      <w:r>
        <w:rPr>
          <w:rFonts w:cs="Times New Roman" w:ascii="Times New Roman" w:hAnsi="Times New Roman"/>
        </w:rPr>
        <w:t>O valor a ser pago pela outorga fixa deverá ser atualizado, anualmente, pelo Índice Nacional de Preços ao Consumidor Amplo (IPCA), ou outro índice que vier a sucedê-lo</w:t>
      </w:r>
      <w:bookmarkEnd w:id="1"/>
      <w:r>
        <w:rPr>
          <w:rFonts w:cs="Times New Roman" w:ascii="Times New Roman" w:hAnsi="Times New Roman"/>
        </w:rPr>
        <w:t>.</w:t>
      </w:r>
    </w:p>
    <w:p>
      <w:pPr>
        <w:pStyle w:val="Standard"/>
        <w:jc w:val="both"/>
        <w:rPr>
          <w:rFonts w:ascii="Times New Roman" w:hAnsi="Times New Roman" w:eastAsia="Times New Roman" w:cs="Times New Roman"/>
        </w:rPr>
      </w:pPr>
      <w:r>
        <w:rPr>
          <w:rFonts w:eastAsia="Times New Roman" w:cs="Times New Roman" w:ascii="Times New Roman" w:hAnsi="Times New Roman"/>
        </w:rPr>
      </w:r>
    </w:p>
    <w:p>
      <w:pPr>
        <w:pStyle w:val="Textbody"/>
        <w:spacing w:lineRule="auto" w:line="240" w:before="0" w:after="0"/>
        <w:ind w:left="283"/>
        <w:jc w:val="both"/>
        <w:rPr/>
      </w:pPr>
      <w:r>
        <w:rPr>
          <w:rFonts w:cs="Times New Roman" w:ascii="Times New Roman" w:hAnsi="Times New Roman"/>
          <w:b/>
          <w:bCs/>
        </w:rPr>
        <w:t>9.1.2.</w:t>
      </w:r>
      <w:r>
        <w:rPr>
          <w:rFonts w:cs="Times New Roman" w:ascii="Times New Roman" w:hAnsi="Times New Roman"/>
        </w:rPr>
        <w:t xml:space="preserve"> Havendo prorrogação ou renovação do contrato de concessão, nova outorga será devida, com valor atualizado.</w:t>
      </w:r>
    </w:p>
    <w:p>
      <w:pPr>
        <w:pStyle w:val="Textbody"/>
        <w:spacing w:lineRule="auto" w:line="240" w:before="0" w:after="0"/>
        <w:ind w:left="283"/>
        <w:jc w:val="both"/>
        <w:rPr>
          <w:rFonts w:ascii="Times New Roman" w:hAnsi="Times New Roman" w:cs="Times New Roman"/>
        </w:rPr>
      </w:pPr>
      <w:r>
        <w:rPr>
          <w:rFonts w:cs="Times New Roman" w:ascii="Times New Roman" w:hAnsi="Times New Roman"/>
        </w:rPr>
      </w:r>
    </w:p>
    <w:p>
      <w:pPr>
        <w:pStyle w:val="Standard"/>
        <w:ind w:left="283"/>
        <w:jc w:val="both"/>
        <w:rPr/>
      </w:pPr>
      <w:r>
        <w:rPr>
          <w:rFonts w:cs="Times New Roman" w:ascii="Times New Roman" w:hAnsi="Times New Roman"/>
          <w:b/>
          <w:bCs/>
        </w:rPr>
        <w:t>9.1.3.</w:t>
      </w:r>
      <w:r>
        <w:rPr>
          <w:rFonts w:cs="Times New Roman" w:ascii="Times New Roman" w:hAnsi="Times New Roman"/>
        </w:rPr>
        <w:t xml:space="preserve"> O valor de outorga anual foi definido a partir de modelagem econômico-financeira referencial não vinculante, levando em consideração, especialmente, a necessidade de assegurar o custeio e a realização dos funerais ofertados gratuitamente pelo Município por meio da Fundação de Assistências Social de Caxias do Sul (“Funerais/FAS”).</w:t>
      </w:r>
    </w:p>
    <w:p>
      <w:pPr>
        <w:pStyle w:val="Standard"/>
        <w:ind w:left="283"/>
        <w:jc w:val="both"/>
        <w:rPr>
          <w:rFonts w:ascii="Times New Roman" w:hAnsi="Times New Roman" w:cs="Times New Roman"/>
        </w:rPr>
      </w:pPr>
      <w:r>
        <w:rPr>
          <w:rFonts w:cs="Times New Roman" w:ascii="Times New Roman" w:hAnsi="Times New Roman"/>
        </w:rPr>
      </w:r>
    </w:p>
    <w:p>
      <w:pPr>
        <w:pStyle w:val="Default"/>
        <w:jc w:val="both"/>
        <w:rPr/>
      </w:pPr>
      <w:r>
        <w:rPr>
          <w:b/>
          <w:color w:val="auto"/>
        </w:rPr>
        <w:t xml:space="preserve">9.2. </w:t>
      </w:r>
      <w:r>
        <w:rPr>
          <w:color w:val="auto"/>
        </w:rPr>
        <w:t>A(s) CONCESSIONÁRIA(s) executará(ão) compulsoriamente os serviços funerários que terão caráter obrigatório e ficarão sujeitas à fiscalização e às normas regulamentadoras do Município de Caxias do Sul, e outras eventualmente aplicáveis.</w:t>
      </w:r>
    </w:p>
    <w:p>
      <w:pPr>
        <w:pStyle w:val="Default"/>
        <w:jc w:val="both"/>
        <w:rPr>
          <w:b/>
          <w:color w:val="auto"/>
        </w:rPr>
      </w:pPr>
      <w:r>
        <w:rPr>
          <w:b/>
          <w:color w:val="auto"/>
        </w:rPr>
      </w:r>
    </w:p>
    <w:p>
      <w:pPr>
        <w:pStyle w:val="Default"/>
        <w:jc w:val="both"/>
        <w:rPr/>
      </w:pPr>
      <w:r>
        <w:rPr>
          <w:b/>
          <w:bCs/>
          <w:color w:val="auto"/>
        </w:rPr>
        <w:t>9.3.</w:t>
      </w:r>
      <w:r>
        <w:rPr>
          <w:color w:val="auto"/>
        </w:rPr>
        <w:t xml:space="preserve"> </w:t>
      </w:r>
      <w:r>
        <w:rPr/>
        <w:t>Conforme exposto em audiência pública, 70% (setenta por cento) do pagamento da outorga será depositado em rubrica específica a ser utilizado para melhorias e reformas nos cemitérios públicos I e II e 30% direcionado para a FAS, para assegurar a contratação dos funerais sociais excedentes às contrapartidas exigidas.</w:t>
      </w:r>
    </w:p>
    <w:p>
      <w:pPr>
        <w:pStyle w:val="Default"/>
        <w:jc w:val="both"/>
        <w:rPr>
          <w:b/>
          <w:color w:val="auto"/>
        </w:rPr>
      </w:pPr>
      <w:r>
        <w:rPr>
          <w:b/>
          <w:color w:val="auto"/>
        </w:rPr>
      </w:r>
    </w:p>
    <w:p>
      <w:pPr>
        <w:pStyle w:val="Default"/>
        <w:jc w:val="both"/>
        <w:rPr/>
      </w:pPr>
      <w:r>
        <w:rPr>
          <w:b/>
          <w:color w:val="auto"/>
        </w:rPr>
        <w:t>10. DA REMUNERAÇÃO DA(S) CONCESSIONÁRIA(S)</w:t>
      </w:r>
    </w:p>
    <w:p>
      <w:pPr>
        <w:pStyle w:val="Default"/>
        <w:jc w:val="both"/>
        <w:rPr>
          <w:b/>
          <w:color w:val="auto"/>
        </w:rPr>
      </w:pPr>
      <w:r>
        <w:rPr>
          <w:b/>
          <w:color w:val="auto"/>
        </w:rPr>
      </w:r>
    </w:p>
    <w:p>
      <w:pPr>
        <w:pStyle w:val="Default"/>
        <w:jc w:val="both"/>
        <w:rPr/>
      </w:pPr>
      <w:r>
        <w:rPr>
          <w:b/>
          <w:bCs/>
          <w:color w:val="auto"/>
        </w:rPr>
        <w:t>10.1.</w:t>
      </w:r>
      <w:r>
        <w:rPr>
          <w:color w:val="auto"/>
        </w:rPr>
        <w:t xml:space="preserve"> A(s) CONCESSIONÁRIA(s) será(ão) remunerada(s) pelos serviços prestados, conforme suas tabelas de preços, sendo que o serviço básico e especial será remunerado pelas tarifas constantes do item 8 e cujo pagamento será efetuado diretamente pelo usuário, nas condições comerciais contratadas.</w:t>
      </w:r>
    </w:p>
    <w:p>
      <w:pPr>
        <w:pStyle w:val="Default"/>
        <w:jc w:val="both"/>
        <w:rPr/>
      </w:pPr>
      <w:r>
        <w:rPr/>
      </w:r>
    </w:p>
    <w:p>
      <w:pPr>
        <w:pStyle w:val="Default"/>
        <w:jc w:val="both"/>
        <w:rPr/>
      </w:pPr>
      <w:r>
        <w:rPr>
          <w:b/>
          <w:bCs/>
          <w:color w:val="auto"/>
        </w:rPr>
        <w:t>10.2.</w:t>
      </w:r>
      <w:r>
        <w:rPr>
          <w:color w:val="auto"/>
        </w:rPr>
        <w:t xml:space="preserve"> Possíveis fontes de receita alternativa, complementares ou acessórias, bem como provenientes de projetos associados poderão ser deliberados pela(s) CONCESSIONÁRIA(s), caso houver, sendo que o serviço não está restrito aos padrões determinados em Lei.</w:t>
      </w:r>
    </w:p>
    <w:p>
      <w:pPr>
        <w:pStyle w:val="Standard"/>
        <w:jc w:val="both"/>
        <w:rPr>
          <w:rFonts w:ascii="Times New Roman" w:hAnsi="Times New Roman" w:cs="Times New Roman"/>
          <w:b/>
          <w:strike/>
        </w:rPr>
      </w:pPr>
      <w:r>
        <w:rPr>
          <w:rFonts w:cs="Times New Roman" w:ascii="Times New Roman" w:hAnsi="Times New Roman"/>
          <w:b/>
          <w:strike/>
        </w:rPr>
      </w:r>
    </w:p>
    <w:p>
      <w:pPr>
        <w:pStyle w:val="Default"/>
        <w:jc w:val="both"/>
        <w:rPr/>
      </w:pPr>
      <w:r>
        <w:rPr>
          <w:b/>
          <w:color w:val="auto"/>
        </w:rPr>
        <w:t>11. DA CONTRAPRESTAÇÃO E DO ATENDIMENTO PARA PESSOA EM VULNERABILIDADE SOCIAL</w:t>
      </w:r>
    </w:p>
    <w:p>
      <w:pPr>
        <w:pStyle w:val="Default"/>
        <w:jc w:val="both"/>
        <w:rPr>
          <w:b/>
          <w:color w:val="auto"/>
        </w:rPr>
      </w:pPr>
      <w:r>
        <w:rPr>
          <w:b/>
          <w:color w:val="auto"/>
        </w:rPr>
      </w:r>
    </w:p>
    <w:p>
      <w:pPr>
        <w:pStyle w:val="Standard"/>
        <w:jc w:val="both"/>
        <w:rPr/>
      </w:pPr>
      <w:r>
        <w:rPr>
          <w:rFonts w:cs="Times New Roman" w:ascii="Times New Roman" w:hAnsi="Times New Roman"/>
          <w:b/>
        </w:rPr>
        <w:t xml:space="preserve">11.3 </w:t>
      </w:r>
      <w:r>
        <w:rPr>
          <w:rFonts w:cs="Times New Roman" w:ascii="Times New Roman" w:hAnsi="Times New Roman"/>
        </w:rPr>
        <w:t>A(s) CONCESSIONÁRIA(s) dos serviços funerários fica(m) obrigada(s), como forma de contraprestação, a prestar gratuitamente, mediante requisição prévia do CONCEDENTE os serviços funerários Padrão I – Básico/Simples, para pessoas e/ou famílias em situação de vulnerabilidade social, pessoas em situação de rua, de outras pessoas reclamadas, de pessoas remetidas pelas autoridades administrativas ou policiais, na proporção de 12% (doze por cento) do total dos serviços funerários prestados mensalmente pela(s) CONCESSIONÁRIA(s), com base nos dados do mês imediatamente anterior ao da prestação, respeitando o sistema de rodízio previsto na Lei.</w:t>
      </w:r>
    </w:p>
    <w:p>
      <w:pPr>
        <w:pStyle w:val="Standard"/>
        <w:jc w:val="both"/>
        <w:rPr>
          <w:rFonts w:ascii="Times New Roman" w:hAnsi="Times New Roman" w:cs="Times New Roman"/>
        </w:rPr>
      </w:pPr>
      <w:r>
        <w:rPr>
          <w:rFonts w:cs="Times New Roman" w:ascii="Times New Roman" w:hAnsi="Times New Roman"/>
        </w:rPr>
      </w:r>
    </w:p>
    <w:p>
      <w:pPr>
        <w:pStyle w:val="Standard"/>
        <w:ind w:left="283"/>
        <w:jc w:val="both"/>
        <w:rPr/>
      </w:pPr>
      <w:r>
        <w:rPr>
          <w:rFonts w:cs="Times New Roman" w:ascii="Times New Roman" w:hAnsi="Times New Roman"/>
          <w:b/>
          <w:bCs/>
        </w:rPr>
        <w:t xml:space="preserve">11.3.1. </w:t>
      </w:r>
      <w:r>
        <w:rPr>
          <w:rFonts w:cs="Times New Roman" w:ascii="Times New Roman" w:hAnsi="Times New Roman"/>
        </w:rPr>
        <w:t>A obrigatoriedade, forma e periodicidade da prestação de contas da(s) CONCESSIONÁRIA(s) ao poder CONCEDENTE será realizada de forma mensal, para devido controle relacionado a Fundação de Assistência Social (FAS).</w:t>
      </w:r>
    </w:p>
    <w:p>
      <w:pPr>
        <w:pStyle w:val="Default"/>
        <w:jc w:val="both"/>
        <w:rPr>
          <w:b/>
          <w:color w:val="auto"/>
        </w:rPr>
      </w:pPr>
      <w:r>
        <w:rPr>
          <w:b/>
          <w:color w:val="auto"/>
        </w:rPr>
      </w:r>
    </w:p>
    <w:p>
      <w:pPr>
        <w:pStyle w:val="Default"/>
        <w:ind w:left="283"/>
        <w:jc w:val="both"/>
        <w:rPr/>
      </w:pPr>
      <w:r>
        <w:rPr>
          <w:b/>
          <w:bCs/>
          <w:color w:val="auto"/>
        </w:rPr>
        <w:t>11.3.2.</w:t>
      </w:r>
      <w:r>
        <w:rPr>
          <w:color w:val="auto"/>
        </w:rPr>
        <w:t xml:space="preserve"> No caso de falecimento de munícipes em outras cidades, e a prestação de serviços funerários ocorrendo por CONCESSIONÁRIA(s) deste Município, o mesmo integrará o percentual de prestação de serviços gratuitos previstos no inciso XXI do art. 13 da Lei Complementar n.º 670, de 16 de dezembro de 2021.</w:t>
      </w:r>
    </w:p>
    <w:p>
      <w:pPr>
        <w:pStyle w:val="Default"/>
        <w:jc w:val="both"/>
        <w:rPr>
          <w:b/>
          <w:color w:val="auto"/>
        </w:rPr>
      </w:pPr>
      <w:r>
        <w:rPr>
          <w:b/>
          <w:color w:val="auto"/>
        </w:rPr>
      </w:r>
    </w:p>
    <w:p>
      <w:pPr>
        <w:pStyle w:val="Default"/>
        <w:jc w:val="both"/>
        <w:rPr>
          <w:b/>
          <w:bCs/>
          <w:color w:val="auto"/>
        </w:rPr>
      </w:pPr>
      <w:r>
        <w:rPr>
          <w:b/>
          <w:bCs/>
          <w:color w:val="auto"/>
        </w:rPr>
        <w:t>12. DA SUBCONTRATAÇÃO E DO CONSÓRCIO</w:t>
      </w:r>
    </w:p>
    <w:p>
      <w:pPr>
        <w:pStyle w:val="Default"/>
        <w:jc w:val="both"/>
        <w:rPr>
          <w:b/>
          <w:bCs/>
          <w:color w:val="auto"/>
        </w:rPr>
      </w:pPr>
      <w:r>
        <w:rPr>
          <w:b/>
          <w:bCs/>
          <w:color w:val="auto"/>
        </w:rPr>
      </w:r>
    </w:p>
    <w:p>
      <w:pPr>
        <w:pStyle w:val="Standard"/>
        <w:numPr>
          <w:ilvl w:val="0"/>
          <w:numId w:val="25"/>
        </w:numPr>
        <w:jc w:val="both"/>
        <w:textAlignment w:val="top"/>
        <w:rPr/>
      </w:pPr>
      <w:r>
        <w:rPr>
          <w:rFonts w:cs="Times New Roman" w:ascii="Times New Roman" w:hAnsi="Times New Roman"/>
          <w:b/>
          <w:bCs/>
        </w:rPr>
        <w:t xml:space="preserve">12.1. </w:t>
      </w:r>
      <w:r>
        <w:rPr>
          <w:rFonts w:eastAsia="Times New Roman" w:cs="Times New Roman" w:ascii="Times New Roman" w:hAnsi="Times New Roman"/>
          <w:lang w:bidi="ar-SA"/>
        </w:rPr>
        <w:t>É vedada a participação de empresas reunidas em consórcio para o objeto da licitação.</w:t>
      </w:r>
    </w:p>
    <w:p>
      <w:pPr>
        <w:pStyle w:val="Default"/>
        <w:jc w:val="both"/>
        <w:rPr>
          <w:b/>
          <w:bCs/>
          <w:color w:val="auto"/>
        </w:rPr>
      </w:pPr>
      <w:r>
        <w:rPr>
          <w:b/>
          <w:bCs/>
          <w:color w:val="auto"/>
        </w:rPr>
      </w:r>
    </w:p>
    <w:p>
      <w:pPr>
        <w:pStyle w:val="Default"/>
        <w:jc w:val="both"/>
        <w:rPr/>
      </w:pPr>
      <w:r>
        <w:rPr>
          <w:b/>
          <w:bCs/>
          <w:color w:val="auto"/>
        </w:rPr>
        <w:t>12.2.</w:t>
      </w:r>
      <w:r>
        <w:rPr>
          <w:color w:val="auto"/>
        </w:rPr>
        <w:t xml:space="preserve"> A(s) CONCESSIONÁRIA(s) </w:t>
      </w:r>
      <w:r>
        <w:rPr>
          <w:b/>
          <w:bCs/>
          <w:color w:val="auto"/>
        </w:rPr>
        <w:t>poderá(ão)</w:t>
      </w:r>
      <w:r>
        <w:rPr>
          <w:color w:val="auto"/>
        </w:rPr>
        <w:t xml:space="preserve">, diante da complexidade das atividades e das diversas especificidades de profissionais envolvidos em todo o serviço funerário, </w:t>
      </w:r>
      <w:r>
        <w:rPr>
          <w:b/>
          <w:bCs/>
          <w:color w:val="auto"/>
        </w:rPr>
        <w:t>subcontratar os serviços de</w:t>
      </w:r>
      <w:r>
        <w:rPr>
          <w:color w:val="auto"/>
        </w:rPr>
        <w:t>: profissionais em luto (psicólogos), serviços de preparação de corpos, tanatopraxia, embalsamamento, reconstituição facial e mumificação visando desonerar o custo de tais serviços já que estes profissionais não são constantemente utilizados na atividade, desde que tais procedimentos sejam realizados em sua área operacional, sendo, entretanto, responsável por esses serviços, nos termos do artigo 122 da Lei n.º 14.133/21 e suas alterações.</w:t>
      </w:r>
    </w:p>
    <w:p>
      <w:pPr>
        <w:pStyle w:val="Default"/>
        <w:jc w:val="both"/>
        <w:rPr>
          <w:color w:val="auto"/>
        </w:rPr>
      </w:pPr>
      <w:r>
        <w:rPr>
          <w:color w:val="auto"/>
        </w:rPr>
      </w:r>
    </w:p>
    <w:p>
      <w:pPr>
        <w:pStyle w:val="Standard"/>
        <w:tabs>
          <w:tab w:val="clear" w:pos="720"/>
          <w:tab w:val="left" w:pos="993" w:leader="none"/>
          <w:tab w:val="left" w:pos="1717" w:leader="none"/>
          <w:tab w:val="left" w:pos="2437" w:leader="none"/>
          <w:tab w:val="left" w:pos="3157" w:leader="none"/>
          <w:tab w:val="left" w:pos="3877" w:leader="none"/>
          <w:tab w:val="left" w:pos="4597" w:leader="none"/>
          <w:tab w:val="left" w:pos="5317" w:leader="none"/>
          <w:tab w:val="left" w:pos="6037" w:leader="none"/>
          <w:tab w:val="left" w:pos="6757" w:leader="none"/>
          <w:tab w:val="left" w:pos="7477" w:leader="none"/>
        </w:tabs>
        <w:ind w:left="283"/>
        <w:jc w:val="both"/>
        <w:textAlignment w:val="top"/>
        <w:rPr/>
      </w:pPr>
      <w:r>
        <w:rPr>
          <w:rFonts w:eastAsia="Times New Roman" w:cs="Times New Roman" w:ascii="Times New Roman" w:hAnsi="Times New Roman"/>
          <w:b/>
          <w:bCs/>
          <w:lang w:bidi="ar-SA"/>
        </w:rPr>
        <w:t>12.2.1.</w:t>
      </w:r>
      <w:r>
        <w:rPr>
          <w:rFonts w:eastAsia="Times New Roman" w:cs="Times New Roman" w:ascii="Times New Roman" w:hAnsi="Times New Roman"/>
          <w:lang w:bidi="ar-SA"/>
        </w:rPr>
        <w:t xml:space="preserve"> Havendo necessidade de subcontratação deverá ser dado preferência na contratação de microempresas ou empresas de pequeno porte, nos termos da Lei n.º 123/2006 e alterações.</w:t>
      </w:r>
    </w:p>
    <w:p>
      <w:pPr>
        <w:pStyle w:val="Standard"/>
        <w:numPr>
          <w:ilvl w:val="0"/>
          <w:numId w:val="26"/>
        </w:numPr>
        <w:tabs>
          <w:tab w:val="clear" w:pos="720"/>
          <w:tab w:val="left" w:pos="993" w:leader="none"/>
          <w:tab w:val="left" w:pos="1717" w:leader="none"/>
          <w:tab w:val="left" w:pos="2437" w:leader="none"/>
          <w:tab w:val="left" w:pos="3157" w:leader="none"/>
          <w:tab w:val="left" w:pos="3877" w:leader="none"/>
          <w:tab w:val="left" w:pos="4597" w:leader="none"/>
          <w:tab w:val="left" w:pos="5317" w:leader="none"/>
          <w:tab w:val="left" w:pos="6037" w:leader="none"/>
          <w:tab w:val="left" w:pos="6757" w:leader="none"/>
          <w:tab w:val="left" w:pos="7477" w:leader="none"/>
        </w:tabs>
        <w:ind w:left="283"/>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numPr>
          <w:ilvl w:val="0"/>
          <w:numId w:val="27"/>
        </w:numPr>
        <w:tabs>
          <w:tab w:val="clear" w:pos="720"/>
          <w:tab w:val="left" w:pos="993" w:leader="none"/>
          <w:tab w:val="left" w:pos="1717" w:leader="none"/>
          <w:tab w:val="left" w:pos="2437" w:leader="none"/>
          <w:tab w:val="left" w:pos="3157" w:leader="none"/>
          <w:tab w:val="left" w:pos="3877" w:leader="none"/>
          <w:tab w:val="left" w:pos="4597" w:leader="none"/>
          <w:tab w:val="left" w:pos="5317" w:leader="none"/>
          <w:tab w:val="left" w:pos="6037" w:leader="none"/>
          <w:tab w:val="left" w:pos="6757" w:leader="none"/>
          <w:tab w:val="left" w:pos="7477" w:leader="none"/>
        </w:tabs>
        <w:ind w:left="283"/>
        <w:jc w:val="both"/>
        <w:textAlignment w:val="top"/>
        <w:rPr/>
      </w:pPr>
      <w:r>
        <w:rPr>
          <w:rFonts w:eastAsia="Times New Roman" w:cs="Times New Roman" w:ascii="Times New Roman" w:hAnsi="Times New Roman"/>
          <w:b/>
          <w:bCs/>
        </w:rPr>
        <w:t xml:space="preserve">12.2.2. </w:t>
      </w:r>
      <w:r>
        <w:rPr>
          <w:rFonts w:eastAsia="Times New Roman" w:cs="Times New Roman" w:ascii="Times New Roman" w:hAnsi="Times New Roman"/>
        </w:rPr>
        <w:t xml:space="preserve">A(s) CONCESSIONÁRIA(s) deverá(ão) apresentar ao fiscal do contrato da Secretaria requisitante, </w:t>
      </w:r>
      <w:r>
        <w:rPr>
          <w:rFonts w:eastAsia="Times New Roman" w:cs="Times New Roman" w:ascii="Times New Roman" w:hAnsi="Times New Roman"/>
          <w:b/>
          <w:bCs/>
        </w:rPr>
        <w:t>quando requisitado e no prazo estabelecido pelo mesmo</w:t>
      </w:r>
      <w:r>
        <w:rPr>
          <w:rFonts w:eastAsia="Times New Roman" w:cs="Times New Roman" w:ascii="Times New Roman" w:hAnsi="Times New Roman"/>
        </w:rPr>
        <w:t>, mediante notificação escrita, os seguintes documentos:</w:t>
      </w:r>
    </w:p>
    <w:p>
      <w:pPr>
        <w:pStyle w:val="Standard"/>
        <w:numPr>
          <w:ilvl w:val="0"/>
          <w:numId w:val="28"/>
        </w:numPr>
        <w:tabs>
          <w:tab w:val="clear" w:pos="720"/>
          <w:tab w:val="left" w:pos="1703" w:leader="none"/>
          <w:tab w:val="left" w:pos="2427" w:leader="none"/>
          <w:tab w:val="left" w:pos="3147" w:leader="none"/>
          <w:tab w:val="left" w:pos="3867" w:leader="none"/>
          <w:tab w:val="left" w:pos="4587" w:leader="none"/>
          <w:tab w:val="left" w:pos="5307" w:leader="none"/>
          <w:tab w:val="left" w:pos="6027" w:leader="none"/>
          <w:tab w:val="left" w:pos="6747" w:leader="none"/>
          <w:tab w:val="left" w:pos="7467" w:leader="none"/>
          <w:tab w:val="left" w:pos="8187" w:leader="none"/>
        </w:tabs>
        <w:ind w:left="567"/>
        <w:jc w:val="both"/>
        <w:rPr>
          <w:rFonts w:ascii="Times New Roman" w:hAnsi="Times New Roman" w:eastAsia="Times New Roman" w:cs="Times New Roman"/>
          <w:strike/>
          <w:lang w:eastAsia="pt-BR"/>
        </w:rPr>
      </w:pPr>
      <w:r>
        <w:rPr>
          <w:rFonts w:eastAsia="Times New Roman" w:cs="Times New Roman" w:ascii="Times New Roman" w:hAnsi="Times New Roman"/>
          <w:strike/>
          <w:lang w:eastAsia="pt-BR"/>
        </w:rPr>
      </w:r>
    </w:p>
    <w:p>
      <w:pPr>
        <w:pStyle w:val="Standard"/>
        <w:numPr>
          <w:ilvl w:val="0"/>
          <w:numId w:val="29"/>
        </w:numPr>
        <w:tabs>
          <w:tab w:val="clear" w:pos="720"/>
          <w:tab w:val="left" w:pos="855" w:leader="none"/>
          <w:tab w:val="left" w:pos="1666"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pPr>
      <w:r>
        <w:rPr>
          <w:rFonts w:eastAsia="Times New Roman" w:cs="Times New Roman" w:ascii="Times New Roman" w:hAnsi="Times New Roman"/>
          <w:b/>
          <w:bCs/>
          <w:kern w:val="0"/>
          <w:lang w:bidi="ar-SA"/>
        </w:rPr>
        <w:t>12.2.2.1</w:t>
      </w:r>
      <w:r>
        <w:rPr>
          <w:rFonts w:eastAsia="Times New Roman" w:cs="Times New Roman" w:ascii="Times New Roman" w:hAnsi="Times New Roman"/>
          <w:kern w:val="0"/>
          <w:lang w:bidi="ar-SA"/>
        </w:rPr>
        <w:t xml:space="preserve">. Documentação da subcontratada, se for o caso, referente ao Registro Comercial, Ato Constitutivo, Estatuto ou Contrato Social e suas alterações; Prova de Regularidade com a Fazenda Federal; Prova de Regularidade com a Fazenda Estadual; Prova de Regularidade com a Fazenda Municipal (totalidade dos tributos); Prova de Regularidade do Fundo de Garantia por Tempo de Serviço (FGTS); Certidão Negativa de Falência, Concordata ou de Recuperação Judicial (Lei n.° 11.101/2005); Certidão Negativa de Débitos Trabalhistas; e, se for o caso, Declaração de enquadramento como microempresa ou empresa de pequeno porte, assinada por representante legal </w:t>
      </w:r>
      <w:r>
        <w:rPr>
          <w:rFonts w:eastAsia="Times New Roman" w:cs="Times New Roman" w:ascii="Times New Roman" w:hAnsi="Times New Roman"/>
          <w:kern w:val="0"/>
          <w:u w:val="single"/>
          <w:lang w:bidi="ar-SA"/>
        </w:rPr>
        <w:t>e</w:t>
      </w:r>
      <w:r>
        <w:rPr>
          <w:rFonts w:eastAsia="Times New Roman" w:cs="Times New Roman" w:ascii="Times New Roman" w:hAnsi="Times New Roman"/>
          <w:kern w:val="0"/>
          <w:lang w:bidi="ar-SA"/>
        </w:rPr>
        <w:t xml:space="preserve"> por contador ou técnico </w:t>
      </w:r>
      <w:r>
        <w:rPr>
          <w:rFonts w:eastAsia="Arial, sans-serif" w:cs="Times New Roman" w:ascii="Times New Roman" w:hAnsi="Times New Roman"/>
          <w:kern w:val="0"/>
          <w:lang w:bidi="ar-SA"/>
        </w:rPr>
        <w:t xml:space="preserve">em contabilidade </w:t>
      </w:r>
      <w:r>
        <w:rPr>
          <w:rFonts w:eastAsia="Times New Roman" w:cs="Times New Roman" w:ascii="Times New Roman" w:hAnsi="Times New Roman"/>
          <w:kern w:val="0"/>
          <w:lang w:bidi="ar-SA"/>
        </w:rPr>
        <w:t>da empresa. Todos os documentos deverão ser apresentados atualizados e em vigor.</w:t>
      </w:r>
    </w:p>
    <w:p>
      <w:pPr>
        <w:pStyle w:val="Standard"/>
        <w:tabs>
          <w:tab w:val="clear" w:pos="720"/>
          <w:tab w:val="left" w:pos="993" w:leader="none"/>
          <w:tab w:val="left" w:pos="1717" w:leader="none"/>
          <w:tab w:val="left" w:pos="2437" w:leader="none"/>
          <w:tab w:val="left" w:pos="3157" w:leader="none"/>
          <w:tab w:val="left" w:pos="3877" w:leader="none"/>
          <w:tab w:val="left" w:pos="4597" w:leader="none"/>
          <w:tab w:val="left" w:pos="5317" w:leader="none"/>
          <w:tab w:val="left" w:pos="6037" w:leader="none"/>
          <w:tab w:val="left" w:pos="6757" w:leader="none"/>
          <w:tab w:val="left" w:pos="7477" w:leader="none"/>
        </w:tabs>
        <w:ind w:left="283"/>
        <w:jc w:val="both"/>
        <w:rPr>
          <w:rFonts w:ascii="Times New Roman" w:hAnsi="Times New Roman" w:eastAsia="Times New Roman" w:cs="Times New Roman"/>
          <w:b/>
          <w:bCs/>
          <w:lang w:bidi="ar-SA"/>
        </w:rPr>
      </w:pPr>
      <w:r>
        <w:rPr>
          <w:rFonts w:eastAsia="Times New Roman" w:cs="Times New Roman" w:ascii="Times New Roman" w:hAnsi="Times New Roman"/>
          <w:b/>
          <w:bCs/>
          <w:lang w:bidi="ar-SA"/>
        </w:rPr>
      </w:r>
    </w:p>
    <w:p>
      <w:pPr>
        <w:pStyle w:val="Default"/>
        <w:jc w:val="both"/>
        <w:rPr>
          <w:b/>
        </w:rPr>
      </w:pPr>
      <w:r>
        <w:rPr>
          <w:b/>
        </w:rPr>
        <w:t>13. DA ORDEM DE INÍCIO E DO RECEBIMENTO DO OBJETO</w:t>
      </w:r>
    </w:p>
    <w:p>
      <w:pPr>
        <w:pStyle w:val="Default"/>
        <w:jc w:val="both"/>
        <w:rPr>
          <w:b/>
        </w:rPr>
      </w:pPr>
      <w:r>
        <w:rPr>
          <w:b/>
        </w:rPr>
      </w:r>
    </w:p>
    <w:p>
      <w:pPr>
        <w:pStyle w:val="Default"/>
        <w:jc w:val="both"/>
        <w:rPr>
          <w:bCs/>
        </w:rPr>
      </w:pPr>
      <w:r>
        <w:rPr>
          <w:b/>
        </w:rPr>
        <w:t xml:space="preserve">13.1. </w:t>
      </w:r>
      <w:r>
        <w:rPr>
          <w:bCs/>
        </w:rPr>
        <w:t>Para a expedição da ORDEM DE INÍCIO e também a posterior aceitação do objeto desta licitação, o CONCEDENTE designa os servidores nomeados pela Portaria vigente, que farão o recebimento nos termos do artigo 140, I, "a" e "b", da Lei n.º 14.133/21, mediante vistoria e avaliação do cumprimento dos critérios exigidos.</w:t>
      </w:r>
    </w:p>
    <w:p>
      <w:pPr>
        <w:pStyle w:val="Default"/>
        <w:jc w:val="both"/>
        <w:rPr>
          <w:bCs/>
        </w:rPr>
      </w:pPr>
      <w:r>
        <w:rPr>
          <w:bCs/>
        </w:rPr>
      </w:r>
    </w:p>
    <w:p>
      <w:pPr>
        <w:pStyle w:val="Default"/>
        <w:jc w:val="both"/>
        <w:rPr/>
      </w:pPr>
      <w:r>
        <w:rPr>
          <w:b/>
        </w:rPr>
        <w:t>13.2.</w:t>
        <w:tab/>
      </w:r>
      <w:r>
        <w:rPr/>
        <w:t>A ORDEM DE INÍCIO será publicada no DOE e fica condicionada a:</w:t>
      </w:r>
    </w:p>
    <w:p>
      <w:pPr>
        <w:pStyle w:val="Normal"/>
        <w:pBdr/>
        <w:spacing w:lineRule="auto" w:line="319"/>
        <w:ind w:left="720"/>
        <w:rPr>
          <w:rFonts w:ascii="Times New Roman" w:hAnsi="Times New Roman" w:eastAsia="Times New Roman" w:cs="Times New Roman"/>
          <w:color w:val="000000"/>
        </w:rPr>
      </w:pPr>
      <w:r>
        <w:rPr/>
        <w:t xml:space="preserve"> </w:t>
      </w:r>
    </w:p>
    <w:p>
      <w:pPr>
        <w:pStyle w:val="Normal"/>
        <w:widowControl/>
        <w:numPr>
          <w:ilvl w:val="0"/>
          <w:numId w:val="9"/>
        </w:numPr>
        <w:pBdr/>
        <w:suppressAutoHyphens w:val="false"/>
        <w:spacing w:lineRule="auto" w:line="319"/>
        <w:jc w:val="both"/>
        <w:textAlignment w:val="auto"/>
        <w:rPr>
          <w:rFonts w:ascii="Times New Roman" w:hAnsi="Times New Roman" w:eastAsia="Times New Roman" w:cs="Times New Roman"/>
          <w:color w:val="000000"/>
        </w:rPr>
      </w:pPr>
      <w:r>
        <w:rPr>
          <w:rFonts w:eastAsia="Times New Roman" w:cs="Times New Roman" w:ascii="Times New Roman" w:hAnsi="Times New Roman"/>
          <w:color w:val="000000"/>
        </w:rPr>
        <w:t>Obtenção de todas as licenças e autorizações municipais, inclusive ambientais, necessárias à execução das intervenções;</w:t>
      </w:r>
    </w:p>
    <w:p>
      <w:pPr>
        <w:pStyle w:val="Normal"/>
        <w:widowControl/>
        <w:numPr>
          <w:ilvl w:val="0"/>
          <w:numId w:val="9"/>
        </w:numPr>
        <w:pBdr/>
        <w:suppressAutoHyphens w:val="false"/>
        <w:spacing w:lineRule="auto" w:line="319"/>
        <w:jc w:val="both"/>
        <w:textAlignment w:val="auto"/>
        <w:rPr>
          <w:rFonts w:ascii="Times New Roman" w:hAnsi="Times New Roman" w:eastAsia="Times New Roman" w:cs="Times New Roman"/>
          <w:color w:val="000000"/>
        </w:rPr>
      </w:pPr>
      <w:r>
        <w:rPr>
          <w:rFonts w:eastAsia="Times New Roman" w:cs="Times New Roman" w:ascii="Times New Roman" w:hAnsi="Times New Roman"/>
          <w:color w:val="000000"/>
        </w:rPr>
        <w:t>Contratação e apresentação dos seguros em conformidade com a Cláusula 15 do Contrato;</w:t>
      </w:r>
    </w:p>
    <w:p>
      <w:pPr>
        <w:pStyle w:val="Default"/>
        <w:jc w:val="both"/>
        <w:rPr/>
      </w:pPr>
      <w:r>
        <w:rPr/>
      </w:r>
    </w:p>
    <w:p>
      <w:pPr>
        <w:pStyle w:val="Default"/>
        <w:jc w:val="both"/>
        <w:rPr/>
      </w:pPr>
      <w:r>
        <w:rPr>
          <w:b/>
        </w:rPr>
        <w:t xml:space="preserve">13.3. </w:t>
      </w:r>
      <w:r>
        <w:rPr>
          <w:bCs/>
        </w:rPr>
        <w:t>Finda a execução e implementação das intervenções ou dada a conclusão de quaisquer obras ou serviços de engenharia relacionados ao objeto em questão, obedecidos os termos e prazos estipulados no ANEXO V – DIRETRIZES TÉCNICAS, a CONCESSIONÁRIA deverá solicitar ao PODER CONCEDENTE a realização de vistoria, que será efetuada, em conjunto, pelas PARTES, por meio de representantes especialmente designados, no prazo máximo de 10 (dez) dias contados da solicitação.</w:t>
      </w:r>
    </w:p>
    <w:p>
      <w:pPr>
        <w:pStyle w:val="Default"/>
        <w:jc w:val="both"/>
        <w:rPr>
          <w:b/>
        </w:rPr>
      </w:pPr>
      <w:r>
        <w:rPr>
          <w:b/>
        </w:rPr>
      </w:r>
    </w:p>
    <w:p>
      <w:pPr>
        <w:pStyle w:val="Default"/>
        <w:jc w:val="both"/>
        <w:rPr/>
      </w:pPr>
      <w:r>
        <w:rPr>
          <w:b/>
        </w:rPr>
        <w:t>13.4.</w:t>
        <w:tab/>
      </w:r>
      <w:r>
        <w:rPr>
          <w:bCs/>
        </w:rPr>
        <w:t>Uma vez realizada a vistoria, será formalizada, pelo PODER CONCEDENTE, a aceitação provisória das obras e instalações relacionadas ao objeto em questão, dentro de até 10 (dez) dias, mediante TERMO PROVISÓRIO DE ACEITAÇÃO, caso sejam necessárias correções ou complementações.</w:t>
      </w:r>
    </w:p>
    <w:p>
      <w:pPr>
        <w:pStyle w:val="Default"/>
        <w:jc w:val="both"/>
        <w:rPr>
          <w:b/>
        </w:rPr>
      </w:pPr>
      <w:r>
        <w:rPr>
          <w:b/>
        </w:rPr>
      </w:r>
    </w:p>
    <w:p>
      <w:pPr>
        <w:pStyle w:val="Default"/>
        <w:jc w:val="both"/>
        <w:rPr/>
      </w:pPr>
      <w:r>
        <w:rPr>
          <w:b/>
        </w:rPr>
        <w:t>13.5.</w:t>
        <w:tab/>
      </w:r>
      <w:r>
        <w:rPr>
          <w:bCs/>
        </w:rPr>
        <w:t xml:space="preserve">A CONCESSIONÁRIA terá o prazo de até 30 (trinta) dias para implementar as correções e/ou complementações apontadas no TERMO PROVISÓRIO DE ACEITAÇÃO, sob pena da aplicação das penalidades correspondentes. </w:t>
      </w:r>
    </w:p>
    <w:p>
      <w:pPr>
        <w:pStyle w:val="Default"/>
        <w:jc w:val="both"/>
        <w:rPr>
          <w:b/>
        </w:rPr>
      </w:pPr>
      <w:r>
        <w:rPr>
          <w:b/>
        </w:rPr>
      </w:r>
    </w:p>
    <w:p>
      <w:pPr>
        <w:pStyle w:val="Default"/>
        <w:jc w:val="both"/>
        <w:rPr/>
      </w:pPr>
      <w:r>
        <w:rPr>
          <w:b/>
        </w:rPr>
        <w:t>13.6.</w:t>
        <w:tab/>
      </w:r>
      <w:r>
        <w:rPr>
          <w:bCs/>
        </w:rPr>
        <w:t>Uma vez finalizadas as correções e/ou complementações mencionadas no subitem anterior e atendidas as condições do item 7, do ANEXO I - FORMA E CRITÉRIOS DE SELEÇÃO DA(S) PARTICIPANTE(S), deverá o PODER CONCEDENTE realizar nova vistoria, no prazo de até 10 (dez) dias, devendo exarar o TERMO DEFINITIVO DE ACEITAÇÃO do OBJETO da CONCESSÃO.</w:t>
      </w:r>
    </w:p>
    <w:p>
      <w:pPr>
        <w:pStyle w:val="Default"/>
        <w:jc w:val="both"/>
        <w:rPr>
          <w:b/>
        </w:rPr>
      </w:pPr>
      <w:r>
        <w:rPr>
          <w:b/>
        </w:rPr>
      </w:r>
    </w:p>
    <w:p>
      <w:pPr>
        <w:pStyle w:val="Default"/>
        <w:jc w:val="both"/>
        <w:rPr/>
      </w:pPr>
      <w:r>
        <w:rPr>
          <w:b/>
        </w:rPr>
        <w:t xml:space="preserve">13.7. </w:t>
      </w:r>
      <w:r>
        <w:rPr>
          <w:bCs/>
        </w:rPr>
        <w:t>O recebimento provisório ou definitivo do objeto não exclui a responsabilidade da(s) CONCESSIONÁRIA(s) pelos prejuízos resultantes da incorreta execução do contrato.</w:t>
      </w:r>
      <w:r>
        <w:rPr/>
        <w:t xml:space="preserve"> </w:t>
      </w:r>
    </w:p>
    <w:p>
      <w:pPr>
        <w:pStyle w:val="Default"/>
        <w:jc w:val="both"/>
        <w:rPr/>
      </w:pPr>
      <w:r>
        <w:rPr/>
      </w:r>
    </w:p>
    <w:p>
      <w:pPr>
        <w:pStyle w:val="Default"/>
        <w:jc w:val="both"/>
        <w:rPr/>
      </w:pPr>
      <w:r>
        <w:rPr>
          <w:b/>
        </w:rPr>
        <w:t xml:space="preserve">13.8. </w:t>
      </w:r>
      <w:r>
        <w:rPr>
          <w:bCs/>
        </w:rPr>
        <w:t>O TERMO DEFINITIVO DE ACEITAÇÃO do OBJETO da CONCESSÃO emitido ao fim da execução e implementação das intervenções, marcará o término da implementação das intervenções, obedecidos os termos e prazos estipulados no ANEXO V – DIRETRIZES TÉCNICAS.</w:t>
      </w:r>
      <w:r>
        <w:rPr/>
        <w:t xml:space="preserve"> </w:t>
      </w:r>
    </w:p>
    <w:p>
      <w:pPr>
        <w:pStyle w:val="Default"/>
        <w:jc w:val="both"/>
        <w:rPr>
          <w:color w:val="auto"/>
        </w:rPr>
      </w:pPr>
      <w:r>
        <w:rPr>
          <w:color w:val="auto"/>
        </w:rPr>
      </w:r>
    </w:p>
    <w:p>
      <w:pPr>
        <w:pStyle w:val="Default"/>
        <w:jc w:val="both"/>
        <w:rPr/>
      </w:pPr>
      <w:r>
        <w:rPr>
          <w:b/>
        </w:rPr>
        <w:t>14. DOS DIREITOS E OBRIGAÇÕES DO CONCEDENTE</w:t>
      </w:r>
    </w:p>
    <w:p>
      <w:pPr>
        <w:pStyle w:val="Default"/>
        <w:jc w:val="both"/>
        <w:rPr>
          <w:b/>
        </w:rPr>
      </w:pPr>
      <w:r>
        <w:rPr>
          <w:b/>
        </w:rPr>
      </w:r>
    </w:p>
    <w:p>
      <w:pPr>
        <w:pStyle w:val="Default"/>
        <w:jc w:val="both"/>
        <w:rPr/>
      </w:pPr>
      <w:r>
        <w:rPr>
          <w:b/>
        </w:rPr>
        <w:t xml:space="preserve">14.1. </w:t>
      </w:r>
      <w:r>
        <w:rPr/>
        <w:t xml:space="preserve">São direitos e obrigações do </w:t>
      </w:r>
      <w:r>
        <w:rPr>
          <w:b/>
        </w:rPr>
        <w:t>CONCEDENTE</w:t>
      </w:r>
      <w:r>
        <w:rPr/>
        <w:t>:</w:t>
      </w:r>
    </w:p>
    <w:p>
      <w:pPr>
        <w:pStyle w:val="Default"/>
        <w:jc w:val="both"/>
        <w:rPr/>
      </w:pPr>
      <w:r>
        <w:rPr/>
      </w:r>
    </w:p>
    <w:p>
      <w:pPr>
        <w:pStyle w:val="Standard"/>
        <w:keepLines/>
        <w:numPr>
          <w:ilvl w:val="0"/>
          <w:numId w:val="30"/>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rPr>
        <w:t>14.1.1.</w:t>
      </w:r>
      <w:r>
        <w:rPr>
          <w:rFonts w:cs="Times New Roman" w:ascii="Times New Roman" w:hAnsi="Times New Roman"/>
        </w:rPr>
        <w:t xml:space="preserve"> receber, fiscalizar, orientar, contestar, dirimir dúvidas emergentes da execução do objeto contratado;</w:t>
      </w:r>
    </w:p>
    <w:p>
      <w:pPr>
        <w:pStyle w:val="Standard"/>
        <w:numPr>
          <w:ilvl w:val="0"/>
          <w:numId w:val="31"/>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b/>
          <w:bCs/>
        </w:rPr>
      </w:pPr>
      <w:r>
        <w:rPr>
          <w:rFonts w:cs="Times New Roman" w:ascii="Times New Roman" w:hAnsi="Times New Roman"/>
          <w:b/>
          <w:bCs/>
        </w:rPr>
      </w:r>
    </w:p>
    <w:p>
      <w:pPr>
        <w:pStyle w:val="Standard"/>
        <w:numPr>
          <w:ilvl w:val="0"/>
          <w:numId w:val="32"/>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rPr>
        <w:t>14.1.2.</w:t>
      </w:r>
      <w:r>
        <w:rPr>
          <w:rFonts w:cs="Times New Roman" w:ascii="Times New Roman" w:hAnsi="Times New Roman"/>
        </w:rPr>
        <w:t xml:space="preserve"> comunicar à(s) </w:t>
      </w:r>
      <w:r>
        <w:rPr>
          <w:rFonts w:eastAsia="Times New Roman" w:cs="Times New Roman" w:ascii="Times New Roman" w:hAnsi="Times New Roman"/>
          <w:color w:val="000000"/>
          <w:kern w:val="0"/>
        </w:rPr>
        <w:t>CONCESSIONÁRIA(s)</w:t>
      </w:r>
      <w:r>
        <w:rPr>
          <w:rFonts w:cs="Times New Roman" w:ascii="Times New Roman" w:hAnsi="Times New Roman"/>
        </w:rPr>
        <w:t>, por escrito, sobre imperfeições, falhas ou irregularidades verificadas na execução do objeto, para que seja substituído, reparado ou corrigido;</w:t>
      </w:r>
    </w:p>
    <w:p>
      <w:pPr>
        <w:pStyle w:val="Standard"/>
        <w:ind w:left="283"/>
        <w:jc w:val="both"/>
        <w:rPr>
          <w:rFonts w:ascii="Times New Roman" w:hAnsi="Times New Roman" w:cs="Times New Roman"/>
          <w:b/>
        </w:rPr>
      </w:pPr>
      <w:r>
        <w:rPr>
          <w:rFonts w:cs="Times New Roman" w:ascii="Times New Roman" w:hAnsi="Times New Roman"/>
          <w:b/>
        </w:rPr>
      </w:r>
    </w:p>
    <w:p>
      <w:pPr>
        <w:pStyle w:val="Default"/>
        <w:ind w:left="283"/>
        <w:jc w:val="both"/>
        <w:rPr/>
      </w:pPr>
      <w:r>
        <w:rPr>
          <w:b/>
          <w:bCs/>
        </w:rPr>
        <w:t>14.1.3.</w:t>
      </w:r>
      <w:r>
        <w:rPr>
          <w:b/>
        </w:rPr>
        <w:t xml:space="preserve"> </w:t>
      </w:r>
      <w:r>
        <w:rPr/>
        <w:t>observar e fiscalizar para que durante a vigência do contrato sejam cumpridas as obrigações assumidas pela(s)</w:t>
      </w:r>
      <w:r>
        <w:rPr>
          <w:b/>
        </w:rPr>
        <w:t xml:space="preserve"> </w:t>
      </w:r>
      <w:r>
        <w:rPr>
          <w:kern w:val="0"/>
        </w:rPr>
        <w:t>CONCESSIONÁRIA(s)</w:t>
      </w:r>
      <w:r>
        <w:rPr/>
        <w:t>, bem como sejam mantidas todas as condições de habilitação e qualificação exigidas na licitação;</w:t>
      </w:r>
    </w:p>
    <w:p>
      <w:pPr>
        <w:pStyle w:val="Default"/>
        <w:ind w:left="283"/>
        <w:jc w:val="both"/>
        <w:rPr/>
      </w:pPr>
      <w:r>
        <w:rPr/>
      </w:r>
    </w:p>
    <w:p>
      <w:pPr>
        <w:pStyle w:val="Default"/>
        <w:ind w:left="283"/>
        <w:jc w:val="both"/>
        <w:rPr/>
      </w:pPr>
      <w:r>
        <w:rPr>
          <w:b/>
          <w:bCs/>
        </w:rPr>
        <w:t>14.1.4.</w:t>
      </w:r>
      <w:r>
        <w:rPr>
          <w:b/>
        </w:rPr>
        <w:t xml:space="preserve"> </w:t>
      </w:r>
      <w:r>
        <w:rPr/>
        <w:t>reajustar preços, ou proceder na sua revisão, por sua iniciativa ou por solicitação da(s) CONCESSIONÁRIA(s), mediante análise e parecer técnico;</w:t>
      </w:r>
    </w:p>
    <w:p>
      <w:pPr>
        <w:pStyle w:val="Default"/>
        <w:ind w:left="283"/>
        <w:jc w:val="both"/>
        <w:rPr/>
      </w:pPr>
      <w:r>
        <w:rPr/>
      </w:r>
    </w:p>
    <w:p>
      <w:pPr>
        <w:pStyle w:val="Default"/>
        <w:ind w:left="283"/>
        <w:jc w:val="both"/>
        <w:rPr/>
      </w:pPr>
      <w:r>
        <w:rPr>
          <w:b/>
          <w:bCs/>
        </w:rPr>
        <w:t>14.1.5.</w:t>
      </w:r>
      <w:r>
        <w:rPr>
          <w:b/>
        </w:rPr>
        <w:t xml:space="preserve"> </w:t>
      </w:r>
      <w:r>
        <w:rPr/>
        <w:t>prestar as informações e os esclarecimentos que venham a ser solicitados;</w:t>
      </w:r>
    </w:p>
    <w:p>
      <w:pPr>
        <w:pStyle w:val="Default"/>
        <w:ind w:left="283"/>
        <w:jc w:val="both"/>
        <w:rPr/>
      </w:pPr>
      <w:r>
        <w:rPr/>
      </w:r>
    </w:p>
    <w:p>
      <w:pPr>
        <w:pStyle w:val="Default"/>
        <w:ind w:left="283"/>
        <w:jc w:val="both"/>
        <w:rPr/>
      </w:pPr>
      <w:r>
        <w:rPr>
          <w:b/>
          <w:bCs/>
        </w:rPr>
        <w:t>14.1.6.</w:t>
      </w:r>
      <w:r>
        <w:rPr>
          <w:b/>
        </w:rPr>
        <w:t xml:space="preserve"> </w:t>
      </w:r>
      <w:r>
        <w:rPr/>
        <w:t>receber o pagamento devido pela outorga fixa;</w:t>
      </w:r>
    </w:p>
    <w:p>
      <w:pPr>
        <w:pStyle w:val="Default"/>
        <w:ind w:left="283"/>
        <w:jc w:val="both"/>
        <w:rPr>
          <w:color w:val="auto"/>
        </w:rPr>
      </w:pPr>
      <w:r>
        <w:rPr>
          <w:color w:val="auto"/>
        </w:rPr>
      </w:r>
    </w:p>
    <w:p>
      <w:pPr>
        <w:pStyle w:val="Standard"/>
        <w:keepLines/>
        <w:numPr>
          <w:ilvl w:val="0"/>
          <w:numId w:val="33"/>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rPr/>
      </w:pPr>
      <w:r>
        <w:rPr>
          <w:rFonts w:cs="Times New Roman" w:ascii="Times New Roman" w:hAnsi="Times New Roman"/>
          <w:b/>
          <w:bCs/>
        </w:rPr>
        <w:t>14.2.</w:t>
      </w:r>
      <w:r>
        <w:rPr>
          <w:rFonts w:cs="Times New Roman" w:ascii="Times New Roman" w:hAnsi="Times New Roman"/>
        </w:rPr>
        <w:t xml:space="preserve"> O </w:t>
      </w:r>
      <w:r>
        <w:rPr>
          <w:rFonts w:cs="Times New Roman" w:ascii="Times New Roman" w:hAnsi="Times New Roman"/>
          <w:shd w:fill="FFFFFF" w:val="clear"/>
          <w:lang w:eastAsia="en-US"/>
        </w:rPr>
        <w:t>CONCEDENTE</w:t>
      </w:r>
      <w:r>
        <w:rPr>
          <w:rFonts w:cs="Times New Roman" w:ascii="Times New Roman" w:hAnsi="Times New Roman"/>
        </w:rPr>
        <w:t xml:space="preserve"> não responderá por quaisquer compromissos assumidos pela(s) </w:t>
      </w:r>
      <w:r>
        <w:rPr>
          <w:rFonts w:eastAsia="Times New Roman" w:cs="Times New Roman" w:ascii="Times New Roman" w:hAnsi="Times New Roman"/>
          <w:color w:val="000000"/>
          <w:kern w:val="0"/>
        </w:rPr>
        <w:t>CONCESSIONÁRIA(s)</w:t>
      </w:r>
      <w:r>
        <w:rPr>
          <w:rFonts w:cs="Times New Roman" w:ascii="Times New Roman" w:hAnsi="Times New Roman"/>
        </w:rPr>
        <w:t xml:space="preserve"> com terceiros, ainda que vinculados à execução do presente TERMO DE REFERÊNCIA, bem como por qualquer dano causado a terceiros em decorrência de ato da(s) </w:t>
      </w:r>
      <w:r>
        <w:rPr>
          <w:rFonts w:eastAsia="Times New Roman" w:cs="Times New Roman" w:ascii="Times New Roman" w:hAnsi="Times New Roman"/>
          <w:color w:val="000000"/>
          <w:kern w:val="0"/>
        </w:rPr>
        <w:t>CONCESSIONÁRIA(s)</w:t>
      </w:r>
      <w:r>
        <w:rPr>
          <w:rFonts w:cs="Times New Roman" w:ascii="Times New Roman" w:hAnsi="Times New Roman"/>
        </w:rPr>
        <w:t>, de seus empregados, prepostos ou subordinados.</w:t>
      </w:r>
    </w:p>
    <w:p>
      <w:pPr>
        <w:pStyle w:val="Default"/>
        <w:jc w:val="both"/>
        <w:rPr/>
      </w:pPr>
      <w:r>
        <w:rPr/>
      </w:r>
    </w:p>
    <w:p>
      <w:pPr>
        <w:pStyle w:val="Default"/>
        <w:jc w:val="both"/>
        <w:rPr/>
      </w:pPr>
      <w:r>
        <w:rPr>
          <w:b/>
        </w:rPr>
        <w:t xml:space="preserve">14.3. </w:t>
      </w:r>
      <w:r>
        <w:rPr/>
        <w:t>Será de responsabilidade da Secretaria Municipal do Meio Ambiente e Sustentabilidade, ou outra que a suceder, no interesse público, avaliar a procedência de denúncias, reclamações e sugestões oriundas da Ouvidoria do município de Caxias do Sul e encaminhá-las aos órgãos competentes, visando à:</w:t>
      </w:r>
    </w:p>
    <w:p>
      <w:pPr>
        <w:pStyle w:val="Default"/>
        <w:jc w:val="both"/>
        <w:rPr/>
      </w:pPr>
      <w:r>
        <w:rPr/>
      </w:r>
    </w:p>
    <w:p>
      <w:pPr>
        <w:pStyle w:val="Default"/>
        <w:ind w:left="283"/>
        <w:jc w:val="both"/>
        <w:rPr/>
      </w:pPr>
      <w:r>
        <w:rPr>
          <w:b/>
          <w:bCs/>
        </w:rPr>
        <w:t>a)</w:t>
      </w:r>
      <w:r>
        <w:rPr/>
        <w:t xml:space="preserve"> melhoria dos serviços públicos;</w:t>
      </w:r>
    </w:p>
    <w:p>
      <w:pPr>
        <w:pStyle w:val="Default"/>
        <w:ind w:left="283"/>
        <w:jc w:val="both"/>
        <w:rPr/>
      </w:pPr>
      <w:r>
        <w:rPr/>
      </w:r>
    </w:p>
    <w:p>
      <w:pPr>
        <w:pStyle w:val="Default"/>
        <w:ind w:left="283"/>
        <w:jc w:val="both"/>
        <w:rPr/>
      </w:pPr>
      <w:r>
        <w:rPr>
          <w:b/>
          <w:bCs/>
        </w:rPr>
        <w:t>b)</w:t>
      </w:r>
      <w:r>
        <w:rPr/>
        <w:t xml:space="preserve"> correção de erros, omissões, desvios ou abusos na prestação do serviço;</w:t>
      </w:r>
    </w:p>
    <w:p>
      <w:pPr>
        <w:pStyle w:val="Default"/>
        <w:ind w:left="283"/>
        <w:jc w:val="both"/>
        <w:rPr/>
      </w:pPr>
      <w:r>
        <w:rPr/>
      </w:r>
    </w:p>
    <w:p>
      <w:pPr>
        <w:pStyle w:val="Standard"/>
        <w:ind w:left="283"/>
        <w:jc w:val="both"/>
        <w:rPr/>
      </w:pPr>
      <w:r>
        <w:rPr>
          <w:rFonts w:cs="Times New Roman" w:ascii="Times New Roman" w:hAnsi="Times New Roman"/>
          <w:b/>
          <w:bCs/>
        </w:rPr>
        <w:t>c)</w:t>
      </w:r>
      <w:r>
        <w:rPr>
          <w:rFonts w:cs="Times New Roman" w:ascii="Times New Roman" w:hAnsi="Times New Roman"/>
        </w:rPr>
        <w:t xml:space="preserve"> apuração de atos de improbidade e de ilícitos administrativos;</w:t>
      </w:r>
    </w:p>
    <w:p>
      <w:pPr>
        <w:pStyle w:val="Standard"/>
        <w:ind w:left="283"/>
        <w:jc w:val="both"/>
        <w:rPr>
          <w:rFonts w:ascii="Times New Roman" w:hAnsi="Times New Roman" w:cs="Times New Roman"/>
        </w:rPr>
      </w:pPr>
      <w:r>
        <w:rPr>
          <w:rFonts w:cs="Times New Roman" w:ascii="Times New Roman" w:hAnsi="Times New Roman"/>
        </w:rPr>
      </w:r>
    </w:p>
    <w:p>
      <w:pPr>
        <w:pStyle w:val="Default"/>
        <w:ind w:left="283"/>
        <w:jc w:val="both"/>
        <w:rPr/>
      </w:pPr>
      <w:r>
        <w:rPr>
          <w:b/>
          <w:bCs/>
        </w:rPr>
        <w:t>d)</w:t>
      </w:r>
      <w:r>
        <w:rPr/>
        <w:t xml:space="preserve"> proteção dos direitos dos usuários;</w:t>
      </w:r>
    </w:p>
    <w:p>
      <w:pPr>
        <w:pStyle w:val="Default"/>
        <w:ind w:left="283"/>
        <w:jc w:val="both"/>
        <w:rPr/>
      </w:pPr>
      <w:r>
        <w:rPr/>
      </w:r>
    </w:p>
    <w:p>
      <w:pPr>
        <w:pStyle w:val="Standard"/>
        <w:ind w:left="283"/>
        <w:jc w:val="both"/>
        <w:rPr/>
      </w:pPr>
      <w:r>
        <w:rPr>
          <w:rFonts w:cs="Times New Roman" w:ascii="Times New Roman" w:hAnsi="Times New Roman"/>
          <w:b/>
        </w:rPr>
        <w:t xml:space="preserve">e) </w:t>
      </w:r>
      <w:r>
        <w:rPr>
          <w:rFonts w:cs="Times New Roman" w:ascii="Times New Roman" w:hAnsi="Times New Roman"/>
        </w:rPr>
        <w:t>garantia da qualidade dos serviços prestados.</w:t>
      </w:r>
    </w:p>
    <w:p>
      <w:pPr>
        <w:pStyle w:val="Default"/>
        <w:jc w:val="both"/>
        <w:rPr>
          <w:b/>
          <w:color w:val="auto"/>
        </w:rPr>
      </w:pPr>
      <w:r>
        <w:rPr>
          <w:b/>
          <w:color w:val="auto"/>
        </w:rPr>
      </w:r>
    </w:p>
    <w:p>
      <w:pPr>
        <w:pStyle w:val="Default"/>
        <w:jc w:val="both"/>
        <w:rPr/>
      </w:pPr>
      <w:r>
        <w:rPr>
          <w:b/>
          <w:color w:val="auto"/>
        </w:rPr>
        <w:t>15. DOS DIREITOS, OBRIGAÇÕES E VEDAÇÕES DA(S) CONCESSIONÁRIA(S)</w:t>
      </w:r>
    </w:p>
    <w:p>
      <w:pPr>
        <w:pStyle w:val="Default"/>
        <w:jc w:val="both"/>
        <w:rPr>
          <w:b/>
          <w:color w:val="auto"/>
        </w:rPr>
      </w:pPr>
      <w:r>
        <w:rPr>
          <w:b/>
          <w:color w:val="auto"/>
        </w:rPr>
      </w:r>
    </w:p>
    <w:p>
      <w:pPr>
        <w:pStyle w:val="Standard"/>
        <w:jc w:val="both"/>
        <w:rPr/>
      </w:pPr>
      <w:r>
        <w:rPr>
          <w:rFonts w:cs="Times New Roman" w:ascii="Times New Roman" w:hAnsi="Times New Roman"/>
          <w:b/>
          <w:bCs/>
        </w:rPr>
        <w:t>15.1.</w:t>
      </w:r>
      <w:r>
        <w:rPr>
          <w:rFonts w:cs="Times New Roman" w:ascii="Times New Roman" w:hAnsi="Times New Roman"/>
          <w:bCs/>
        </w:rPr>
        <w:t xml:space="preserve"> A prestação dos serviços funerários deverá ser realizada de forma adequada, para o pleno atendimento dos usuários e obedecerá ao disposto na legislação municipal, estadual e federal, ficando igualmente sujeita à sua fiscalização.</w:t>
      </w:r>
    </w:p>
    <w:p>
      <w:pPr>
        <w:pStyle w:val="Standard"/>
        <w:jc w:val="both"/>
        <w:rPr>
          <w:rFonts w:ascii="Times New Roman" w:hAnsi="Times New Roman" w:cs="Times New Roman"/>
          <w:bCs/>
        </w:rPr>
      </w:pPr>
      <w:r>
        <w:rPr>
          <w:rFonts w:cs="Times New Roman" w:ascii="Times New Roman" w:hAnsi="Times New Roman"/>
          <w:bCs/>
        </w:rPr>
      </w:r>
    </w:p>
    <w:p>
      <w:pPr>
        <w:pStyle w:val="Standard"/>
        <w:keepLines/>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rPr/>
      </w:pPr>
      <w:r>
        <w:rPr>
          <w:rFonts w:cs="Times New Roman" w:ascii="Times New Roman" w:hAnsi="Times New Roman"/>
          <w:b/>
          <w:bCs/>
          <w:kern w:val="0"/>
        </w:rPr>
        <w:t>15.2.</w:t>
      </w:r>
      <w:r>
        <w:rPr>
          <w:rFonts w:cs="Times New Roman" w:ascii="Times New Roman" w:hAnsi="Times New Roman"/>
          <w:kern w:val="0"/>
        </w:rPr>
        <w:t xml:space="preserve"> A</w:t>
      </w:r>
      <w:r>
        <w:rPr>
          <w:rFonts w:eastAsia="Times New Roman" w:cs="Times New Roman" w:ascii="Times New Roman" w:hAnsi="Times New Roman"/>
          <w:lang w:bidi="ar-SA"/>
        </w:rPr>
        <w:t>(s)</w:t>
      </w:r>
      <w:r>
        <w:rPr>
          <w:rFonts w:cs="Times New Roman" w:ascii="Times New Roman" w:hAnsi="Times New Roman"/>
          <w:kern w:val="0"/>
        </w:rPr>
        <w:t xml:space="preserve"> </w:t>
      </w:r>
      <w:r>
        <w:rPr>
          <w:rFonts w:eastAsia="Times New Roman" w:cs="Times New Roman" w:ascii="Times New Roman" w:hAnsi="Times New Roman"/>
          <w:lang w:bidi="ar-SA"/>
        </w:rPr>
        <w:t xml:space="preserve">CONCESSIONÁRIA(s) </w:t>
      </w:r>
      <w:r>
        <w:rPr>
          <w:rFonts w:cs="Times New Roman" w:ascii="Times New Roman" w:hAnsi="Times New Roman"/>
          <w:bCs/>
        </w:rPr>
        <w:t xml:space="preserve">cumprirá(ão) todas as obrigações constantes no </w:t>
      </w:r>
      <w:r>
        <w:rPr>
          <w:rFonts w:eastAsia="Arial-BoldMT" w:cs="Times New Roman" w:ascii="Times New Roman" w:hAnsi="Times New Roman"/>
          <w:color w:val="000000"/>
        </w:rPr>
        <w:t>TERMO DE REFERÊNCIA e</w:t>
      </w:r>
      <w:r>
        <w:rPr>
          <w:rFonts w:cs="Times New Roman" w:ascii="Times New Roman" w:hAnsi="Times New Roman"/>
          <w:bCs/>
        </w:rPr>
        <w:t xml:space="preserve"> seus Anexos, bem como às normas e regulamentos expedidos pelo Poder Executivo e de outras esferas do Poder Público, assumindo como exclusivamente seus os riscos e as despesas decorrentes da boa e perfeita execução do objeto e, ainda:</w:t>
      </w:r>
    </w:p>
    <w:p>
      <w:pPr>
        <w:pStyle w:val="Default"/>
        <w:jc w:val="both"/>
        <w:rPr>
          <w:color w:val="auto"/>
        </w:rPr>
      </w:pPr>
      <w:r>
        <w:rPr>
          <w:color w:val="auto"/>
        </w:rPr>
      </w:r>
    </w:p>
    <w:p>
      <w:pPr>
        <w:pStyle w:val="Default"/>
        <w:ind w:left="283"/>
        <w:jc w:val="both"/>
        <w:rPr/>
      </w:pPr>
      <w:r>
        <w:rPr>
          <w:b/>
          <w:bCs/>
          <w:color w:val="auto"/>
          <w:kern w:val="0"/>
        </w:rPr>
        <w:t>15.2.</w:t>
      </w:r>
      <w:r>
        <w:rPr>
          <w:b/>
          <w:bCs/>
          <w:color w:val="auto"/>
        </w:rPr>
        <w:t>1.</w:t>
      </w:r>
      <w:r>
        <w:rPr>
          <w:color w:val="auto"/>
        </w:rPr>
        <w:t xml:space="preserve"> assegurar aos agentes fiscalizadores do CONCEDENTE o livre acesso às suas dependências;</w:t>
      </w:r>
    </w:p>
    <w:p>
      <w:pPr>
        <w:pStyle w:val="Default"/>
        <w:ind w:left="283"/>
        <w:jc w:val="both"/>
        <w:rPr>
          <w:color w:val="auto"/>
        </w:rPr>
      </w:pPr>
      <w:r>
        <w:rPr>
          <w:color w:val="auto"/>
        </w:rPr>
      </w:r>
    </w:p>
    <w:p>
      <w:pPr>
        <w:pStyle w:val="Default"/>
        <w:ind w:left="283"/>
        <w:jc w:val="both"/>
        <w:rPr/>
      </w:pPr>
      <w:r>
        <w:rPr>
          <w:b/>
          <w:bCs/>
          <w:color w:val="auto"/>
          <w:kern w:val="0"/>
        </w:rPr>
        <w:t>15.2.</w:t>
      </w:r>
      <w:r>
        <w:rPr>
          <w:b/>
          <w:bCs/>
          <w:color w:val="auto"/>
        </w:rPr>
        <w:t>2.</w:t>
      </w:r>
      <w:r>
        <w:rPr>
          <w:color w:val="auto"/>
        </w:rPr>
        <w:t xml:space="preserve"> manter os documentos contábeis e as despesas operacionais à disposição do CONCEDENTE;</w:t>
      </w:r>
    </w:p>
    <w:p>
      <w:pPr>
        <w:pStyle w:val="Default"/>
        <w:ind w:left="283"/>
        <w:jc w:val="both"/>
        <w:rPr>
          <w:b/>
          <w:bCs/>
          <w:color w:val="auto"/>
        </w:rPr>
      </w:pPr>
      <w:r>
        <w:rPr>
          <w:b/>
          <w:bCs/>
          <w:color w:val="auto"/>
        </w:rPr>
      </w:r>
    </w:p>
    <w:p>
      <w:pPr>
        <w:pStyle w:val="Default"/>
        <w:ind w:left="283"/>
        <w:jc w:val="both"/>
        <w:rPr/>
      </w:pPr>
      <w:r>
        <w:rPr>
          <w:b/>
          <w:bCs/>
          <w:color w:val="auto"/>
          <w:kern w:val="0"/>
        </w:rPr>
        <w:t>15.2.</w:t>
      </w:r>
      <w:r>
        <w:rPr>
          <w:b/>
          <w:bCs/>
          <w:color w:val="auto"/>
        </w:rPr>
        <w:t xml:space="preserve">3. </w:t>
      </w:r>
      <w:r>
        <w:rPr>
          <w:color w:val="auto"/>
        </w:rPr>
        <w:t>manter instalações adequadas à prestação dos serviços;</w:t>
      </w:r>
    </w:p>
    <w:p>
      <w:pPr>
        <w:pStyle w:val="Default"/>
        <w:ind w:left="283"/>
        <w:jc w:val="both"/>
        <w:rPr>
          <w:color w:val="auto"/>
        </w:rPr>
      </w:pPr>
      <w:r>
        <w:rPr>
          <w:color w:val="auto"/>
        </w:rPr>
      </w:r>
    </w:p>
    <w:p>
      <w:pPr>
        <w:pStyle w:val="Default"/>
        <w:ind w:left="283"/>
        <w:jc w:val="both"/>
        <w:rPr/>
      </w:pPr>
      <w:r>
        <w:rPr>
          <w:b/>
          <w:bCs/>
          <w:color w:val="auto"/>
          <w:kern w:val="0"/>
        </w:rPr>
        <w:t>15.2.</w:t>
      </w:r>
      <w:r>
        <w:rPr>
          <w:b/>
          <w:bCs/>
          <w:color w:val="auto"/>
        </w:rPr>
        <w:t>4.</w:t>
      </w:r>
      <w:r>
        <w:rPr>
          <w:color w:val="auto"/>
        </w:rPr>
        <w:t xml:space="preserve"> cumprir as ordens de serviços expedidas pelo CONCEDENTE;</w:t>
      </w:r>
    </w:p>
    <w:p>
      <w:pPr>
        <w:pStyle w:val="Default"/>
        <w:ind w:left="283"/>
        <w:jc w:val="both"/>
        <w:rPr>
          <w:color w:val="auto"/>
        </w:rPr>
      </w:pPr>
      <w:r>
        <w:rPr>
          <w:color w:val="auto"/>
        </w:rPr>
      </w:r>
    </w:p>
    <w:p>
      <w:pPr>
        <w:pStyle w:val="Default"/>
        <w:ind w:left="283"/>
        <w:jc w:val="both"/>
        <w:rPr/>
      </w:pPr>
      <w:r>
        <w:rPr>
          <w:b/>
          <w:bCs/>
          <w:color w:val="auto"/>
          <w:kern w:val="0"/>
        </w:rPr>
        <w:t>15.2.5</w:t>
      </w:r>
      <w:r>
        <w:rPr>
          <w:b/>
          <w:bCs/>
          <w:color w:val="auto"/>
        </w:rPr>
        <w:t>.</w:t>
      </w:r>
      <w:r>
        <w:rPr>
          <w:color w:val="auto"/>
        </w:rPr>
        <w:t xml:space="preserve"> prestar atendimento gratuito à família do falecido, quando determinado pelo CONCEDENTE, nos termos da Lei Complementar n.º 670, de 16 de dezembro de 2021;</w:t>
      </w:r>
    </w:p>
    <w:p>
      <w:pPr>
        <w:pStyle w:val="Default"/>
        <w:ind w:left="283"/>
        <w:jc w:val="both"/>
        <w:rPr>
          <w:color w:val="auto"/>
        </w:rPr>
      </w:pPr>
      <w:r>
        <w:rPr>
          <w:color w:val="auto"/>
        </w:rPr>
      </w:r>
    </w:p>
    <w:p>
      <w:pPr>
        <w:pStyle w:val="Default"/>
        <w:ind w:left="283"/>
        <w:jc w:val="both"/>
        <w:rPr/>
      </w:pPr>
      <w:r>
        <w:rPr>
          <w:b/>
          <w:bCs/>
          <w:color w:val="auto"/>
          <w:kern w:val="0"/>
        </w:rPr>
        <w:t>15.2.6</w:t>
      </w:r>
      <w:r>
        <w:rPr>
          <w:color w:val="auto"/>
        </w:rPr>
        <w:t>. manter tanatório e, obrigatoriamente, disponibilizar o serviço de tanatopraxia para o preparo do corpo, exercido por profissional legalmente habilitado, quando:</w:t>
      </w:r>
    </w:p>
    <w:p>
      <w:pPr>
        <w:pStyle w:val="Default"/>
        <w:ind w:left="283"/>
        <w:jc w:val="both"/>
        <w:rPr>
          <w:color w:val="auto"/>
        </w:rPr>
      </w:pPr>
      <w:r>
        <w:rPr>
          <w:color w:val="auto"/>
        </w:rPr>
      </w:r>
    </w:p>
    <w:p>
      <w:pPr>
        <w:pStyle w:val="Default"/>
        <w:ind w:left="567"/>
        <w:jc w:val="both"/>
        <w:rPr/>
      </w:pPr>
      <w:r>
        <w:rPr>
          <w:b/>
          <w:bCs/>
          <w:color w:val="auto"/>
          <w:kern w:val="0"/>
        </w:rPr>
        <w:t>15.2.6</w:t>
      </w:r>
      <w:r>
        <w:rPr>
          <w:b/>
          <w:bCs/>
          <w:color w:val="auto"/>
        </w:rPr>
        <w:t>.1.</w:t>
      </w:r>
      <w:r>
        <w:rPr>
          <w:color w:val="auto"/>
        </w:rPr>
        <w:t xml:space="preserve"> o corpo for transladado para Município localizado a distância superior a 250Km (duzentos e cinquenta quilômetros); e/ou</w:t>
      </w:r>
    </w:p>
    <w:p>
      <w:pPr>
        <w:pStyle w:val="Default"/>
        <w:ind w:left="567"/>
        <w:jc w:val="both"/>
        <w:rPr>
          <w:color w:val="auto"/>
        </w:rPr>
      </w:pPr>
      <w:r>
        <w:rPr>
          <w:color w:val="auto"/>
        </w:rPr>
      </w:r>
    </w:p>
    <w:p>
      <w:pPr>
        <w:pStyle w:val="Default"/>
        <w:ind w:left="567"/>
        <w:jc w:val="both"/>
        <w:rPr/>
      </w:pPr>
      <w:r>
        <w:rPr>
          <w:b/>
          <w:bCs/>
          <w:color w:val="auto"/>
          <w:kern w:val="0"/>
        </w:rPr>
        <w:t>15.2.6</w:t>
      </w:r>
      <w:r>
        <w:rPr>
          <w:b/>
          <w:bCs/>
          <w:color w:val="auto"/>
        </w:rPr>
        <w:t>.2.</w:t>
      </w:r>
      <w:r>
        <w:rPr>
          <w:color w:val="auto"/>
        </w:rPr>
        <w:t xml:space="preserve"> o velório ultrapassar a 24 (vinte e quatro) horas.</w:t>
      </w:r>
    </w:p>
    <w:p>
      <w:pPr>
        <w:pStyle w:val="Default"/>
        <w:ind w:left="283"/>
        <w:jc w:val="both"/>
        <w:rPr>
          <w:color w:val="auto"/>
        </w:rPr>
      </w:pPr>
      <w:r>
        <w:rPr>
          <w:color w:val="auto"/>
        </w:rPr>
      </w:r>
    </w:p>
    <w:p>
      <w:pPr>
        <w:pStyle w:val="Default"/>
        <w:ind w:left="283"/>
        <w:jc w:val="both"/>
        <w:rPr/>
      </w:pPr>
      <w:r>
        <w:rPr>
          <w:b/>
          <w:bCs/>
          <w:color w:val="auto"/>
          <w:kern w:val="0"/>
        </w:rPr>
        <w:t>15.2.7.</w:t>
      </w:r>
      <w:r>
        <w:rPr>
          <w:color w:val="auto"/>
        </w:rPr>
        <w:t xml:space="preserve"> manter estoque mínimo de 80 (oitenta) ataúdes dos tipos previstos no artigo 5.º do </w:t>
      </w:r>
      <w:r>
        <w:rPr>
          <w:kern w:val="0"/>
        </w:rPr>
        <w:t>Decreto Municipal n.º 24.134, de 19 de março de 2026</w:t>
      </w:r>
      <w:r>
        <w:rPr>
          <w:color w:val="auto"/>
        </w:rPr>
        <w:t xml:space="preserve"> e mostruário completo dos ataúdes previstos para o serviço funerário essencial;</w:t>
      </w:r>
    </w:p>
    <w:p>
      <w:pPr>
        <w:pStyle w:val="Default"/>
        <w:ind w:left="283"/>
        <w:jc w:val="both"/>
        <w:rPr>
          <w:color w:val="auto"/>
        </w:rPr>
      </w:pPr>
      <w:r>
        <w:rPr>
          <w:color w:val="auto"/>
        </w:rPr>
      </w:r>
    </w:p>
    <w:p>
      <w:pPr>
        <w:pStyle w:val="Default"/>
        <w:ind w:left="283"/>
        <w:jc w:val="both"/>
        <w:rPr/>
      </w:pPr>
      <w:r>
        <w:rPr>
          <w:b/>
          <w:bCs/>
          <w:color w:val="auto"/>
          <w:kern w:val="0"/>
        </w:rPr>
        <w:t>15.2.8.</w:t>
      </w:r>
      <w:r>
        <w:rPr>
          <w:b/>
          <w:color w:val="auto"/>
        </w:rPr>
        <w:t xml:space="preserve"> </w:t>
      </w:r>
      <w:r>
        <w:rPr>
          <w:color w:val="auto"/>
        </w:rPr>
        <w:t>fornecer a mão de obra necessária para a plena execução dos serviços, mantendo funcionários em número e especialização compatíveis com a natureza do serviço, responsabilizando-se perante o CONCEDENTE por todos os atos de seus subordinados durante a sua execução, bem como por acidentes ou sinistros praticados ou sofridos por seus prepostos;</w:t>
      </w:r>
    </w:p>
    <w:p>
      <w:pPr>
        <w:pStyle w:val="Default"/>
        <w:ind w:left="283"/>
        <w:jc w:val="both"/>
        <w:rPr>
          <w:color w:val="auto"/>
        </w:rPr>
      </w:pPr>
      <w:r>
        <w:rPr>
          <w:color w:val="auto"/>
        </w:rPr>
      </w:r>
    </w:p>
    <w:p>
      <w:pPr>
        <w:pStyle w:val="Default"/>
        <w:ind w:left="283"/>
        <w:jc w:val="both"/>
        <w:rPr/>
      </w:pPr>
      <w:r>
        <w:rPr>
          <w:b/>
          <w:bCs/>
          <w:color w:val="auto"/>
          <w:kern w:val="0"/>
        </w:rPr>
        <w:t>15.2.9</w:t>
      </w:r>
      <w:r>
        <w:rPr>
          <w:b/>
          <w:color w:val="auto"/>
        </w:rPr>
        <w:t xml:space="preserve">. </w:t>
      </w:r>
      <w:r>
        <w:rPr>
          <w:color w:val="auto"/>
        </w:rPr>
        <w:t>arcar com todos os encargos sociais, seguros, uniformes, Equipamentos de Proteção Individual (EPIs), alimentação e demais exigências das leis trabalhistas, fiscais, sindicais, previdenciárias e securitárias, não se estabelecendo qualquer relação entre os terceiros contratados pela(s) CONCESSIONÁRIA</w:t>
      </w:r>
      <w:r>
        <w:rPr>
          <w:color w:val="auto"/>
          <w:lang w:bidi="ar-SA"/>
        </w:rPr>
        <w:t>(s)</w:t>
      </w:r>
      <w:r>
        <w:rPr>
          <w:color w:val="auto"/>
        </w:rPr>
        <w:t xml:space="preserve"> e o CONCEDENTE;</w:t>
      </w:r>
    </w:p>
    <w:p>
      <w:pPr>
        <w:pStyle w:val="Default"/>
        <w:ind w:left="283"/>
        <w:jc w:val="both"/>
        <w:rPr>
          <w:color w:val="auto"/>
        </w:rPr>
      </w:pPr>
      <w:r>
        <w:rPr>
          <w:color w:val="auto"/>
        </w:rPr>
      </w:r>
    </w:p>
    <w:p>
      <w:pPr>
        <w:pStyle w:val="Default"/>
        <w:ind w:left="283"/>
        <w:jc w:val="both"/>
        <w:rPr/>
      </w:pPr>
      <w:r>
        <w:rPr>
          <w:b/>
          <w:bCs/>
          <w:color w:val="auto"/>
          <w:kern w:val="0"/>
        </w:rPr>
        <w:t>15.2.10</w:t>
      </w:r>
      <w:r>
        <w:rPr>
          <w:b/>
          <w:color w:val="auto"/>
        </w:rPr>
        <w:t xml:space="preserve">. </w:t>
      </w:r>
      <w:r>
        <w:rPr>
          <w:color w:val="auto"/>
        </w:rPr>
        <w:t>observar, na prestação dos serviços, toda e qualquer prescrição e norma de caráter sanitário expedida pelos órgãos públicos competentes e legislação correlata, sob pena de revogação da concessão e rescisão do contrato;</w:t>
      </w:r>
    </w:p>
    <w:p>
      <w:pPr>
        <w:pStyle w:val="Default"/>
        <w:ind w:left="283"/>
        <w:jc w:val="both"/>
        <w:rPr>
          <w:color w:val="auto"/>
        </w:rPr>
      </w:pPr>
      <w:r>
        <w:rPr>
          <w:color w:val="auto"/>
        </w:rPr>
      </w:r>
    </w:p>
    <w:p>
      <w:pPr>
        <w:pStyle w:val="Default"/>
        <w:ind w:left="283"/>
        <w:jc w:val="both"/>
        <w:rPr/>
      </w:pPr>
      <w:r>
        <w:rPr>
          <w:b/>
          <w:bCs/>
          <w:color w:val="auto"/>
          <w:kern w:val="0"/>
        </w:rPr>
        <w:t>15.2.11</w:t>
      </w:r>
      <w:r>
        <w:rPr>
          <w:b/>
          <w:color w:val="auto"/>
        </w:rPr>
        <w:t>.</w:t>
      </w:r>
      <w:r>
        <w:rPr>
          <w:color w:val="auto"/>
        </w:rPr>
        <w:t xml:space="preserve"> responder por todos os prejuízos causados em decorrência de suas atividades ao CONCEDENTE, aos usuários ou a terceiros, sem que a fiscalização exercida pelos órgãos municipais competentes exclua ou atenue essa responsabilidade;</w:t>
      </w:r>
    </w:p>
    <w:p>
      <w:pPr>
        <w:pStyle w:val="Default"/>
        <w:ind w:left="283"/>
        <w:jc w:val="both"/>
        <w:rPr>
          <w:color w:val="auto"/>
        </w:rPr>
      </w:pPr>
      <w:r>
        <w:rPr>
          <w:color w:val="auto"/>
        </w:rPr>
      </w:r>
    </w:p>
    <w:p>
      <w:pPr>
        <w:pStyle w:val="Default"/>
        <w:ind w:left="283"/>
        <w:jc w:val="both"/>
        <w:rPr/>
      </w:pPr>
      <w:r>
        <w:rPr>
          <w:b/>
          <w:bCs/>
          <w:color w:val="auto"/>
          <w:kern w:val="0"/>
        </w:rPr>
        <w:t>15.2.12</w:t>
      </w:r>
      <w:r>
        <w:rPr>
          <w:b/>
          <w:color w:val="auto"/>
        </w:rPr>
        <w:t xml:space="preserve">. </w:t>
      </w:r>
      <w:r>
        <w:rPr>
          <w:color w:val="auto"/>
        </w:rPr>
        <w:t>manter permanentemente exposta ao público e/ou em seu sítio próprio na internet, a tabela discriminada de preços dos serviços objeto da concessão, com descrição completa e foto do produto, assim como o seu valor total e parcelado;</w:t>
      </w:r>
    </w:p>
    <w:p>
      <w:pPr>
        <w:pStyle w:val="Default"/>
        <w:ind w:left="283"/>
        <w:jc w:val="both"/>
        <w:rPr>
          <w:b/>
          <w:color w:val="auto"/>
        </w:rPr>
      </w:pPr>
      <w:r>
        <w:rPr>
          <w:b/>
          <w:color w:val="auto"/>
        </w:rPr>
      </w:r>
    </w:p>
    <w:p>
      <w:pPr>
        <w:pStyle w:val="Standard"/>
        <w:ind w:left="283"/>
        <w:jc w:val="both"/>
        <w:rPr/>
      </w:pPr>
      <w:r>
        <w:rPr>
          <w:rFonts w:cs="Times New Roman" w:ascii="Times New Roman" w:hAnsi="Times New Roman"/>
          <w:b/>
          <w:bCs/>
          <w:kern w:val="0"/>
        </w:rPr>
        <w:t>15.2.13</w:t>
      </w:r>
      <w:r>
        <w:rPr>
          <w:rFonts w:cs="Times New Roman" w:ascii="Times New Roman" w:hAnsi="Times New Roman"/>
          <w:b/>
        </w:rPr>
        <w:t xml:space="preserve">. </w:t>
      </w:r>
      <w:r>
        <w:rPr>
          <w:rFonts w:cs="Times New Roman" w:ascii="Times New Roman" w:hAnsi="Times New Roman"/>
        </w:rPr>
        <w:t>disponibilizar, no mínimo, 03 (três) veículos para a remoção de cadáveres, transporte de corpos para o sepultamento e outros serviços auxiliares, observando as condições mencionadas no item 6.1.3. deste TERMO DE REFERÊNCIA;</w:t>
      </w:r>
    </w:p>
    <w:p>
      <w:pPr>
        <w:pStyle w:val="Default"/>
        <w:ind w:left="283"/>
        <w:jc w:val="both"/>
        <w:rPr>
          <w:b/>
          <w:color w:val="auto"/>
        </w:rPr>
      </w:pPr>
      <w:r>
        <w:rPr>
          <w:b/>
          <w:color w:val="auto"/>
        </w:rPr>
      </w:r>
    </w:p>
    <w:p>
      <w:pPr>
        <w:pStyle w:val="Default"/>
        <w:ind w:left="283"/>
        <w:jc w:val="both"/>
        <w:rPr/>
      </w:pPr>
      <w:r>
        <w:rPr>
          <w:b/>
          <w:bCs/>
          <w:color w:val="auto"/>
          <w:kern w:val="0"/>
        </w:rPr>
        <w:t>15.2.14</w:t>
      </w:r>
      <w:r>
        <w:rPr>
          <w:b/>
          <w:bCs/>
          <w:color w:val="auto"/>
        </w:rPr>
        <w:t>.</w:t>
      </w:r>
      <w:r>
        <w:rPr>
          <w:b/>
          <w:color w:val="auto"/>
        </w:rPr>
        <w:t xml:space="preserve"> </w:t>
      </w:r>
      <w:bookmarkStart w:id="2" w:name="_Hlk194586793"/>
      <w:r>
        <w:rPr>
          <w:color w:val="auto"/>
        </w:rPr>
        <w:t>obter alvará de localização e sanitário para seu estabelecimento nos termos da legislação vigente, mediante pagamento dos tributos respectivos;</w:t>
      </w:r>
      <w:bookmarkEnd w:id="2"/>
    </w:p>
    <w:p>
      <w:pPr>
        <w:pStyle w:val="Default"/>
        <w:ind w:left="283"/>
        <w:jc w:val="both"/>
        <w:rPr>
          <w:b/>
          <w:color w:val="auto"/>
        </w:rPr>
      </w:pPr>
      <w:r>
        <w:rPr>
          <w:b/>
          <w:color w:val="auto"/>
        </w:rPr>
      </w:r>
    </w:p>
    <w:p>
      <w:pPr>
        <w:pStyle w:val="Default"/>
        <w:ind w:left="283"/>
        <w:jc w:val="both"/>
        <w:rPr/>
      </w:pPr>
      <w:r>
        <w:rPr>
          <w:b/>
          <w:bCs/>
          <w:color w:val="auto"/>
          <w:kern w:val="0"/>
        </w:rPr>
        <w:t>15.2.15</w:t>
      </w:r>
      <w:r>
        <w:rPr>
          <w:b/>
          <w:bCs/>
          <w:color w:val="auto"/>
        </w:rPr>
        <w:t xml:space="preserve">. </w:t>
      </w:r>
      <w:r>
        <w:rPr>
          <w:color w:val="auto"/>
        </w:rPr>
        <w:t>prestar serviço funerário durante todos os dias do ano, 24 (vinte e quatro) horas, ininterruptamente, admitindo o serviço de plantonista;</w:t>
      </w:r>
    </w:p>
    <w:p>
      <w:pPr>
        <w:pStyle w:val="Default"/>
        <w:ind w:left="283"/>
        <w:jc w:val="both"/>
        <w:rPr>
          <w:color w:val="auto"/>
        </w:rPr>
      </w:pPr>
      <w:r>
        <w:rPr>
          <w:color w:val="auto"/>
        </w:rPr>
      </w:r>
    </w:p>
    <w:p>
      <w:pPr>
        <w:pStyle w:val="Default"/>
        <w:ind w:left="283"/>
        <w:jc w:val="both"/>
        <w:rPr/>
      </w:pPr>
      <w:r>
        <w:rPr>
          <w:b/>
          <w:bCs/>
          <w:color w:val="auto"/>
          <w:kern w:val="0"/>
        </w:rPr>
        <w:t>15.2.16</w:t>
      </w:r>
      <w:r>
        <w:rPr>
          <w:b/>
          <w:bCs/>
          <w:color w:val="auto"/>
        </w:rPr>
        <w:t>.</w:t>
      </w:r>
      <w:r>
        <w:rPr>
          <w:color w:val="auto"/>
        </w:rPr>
        <w:t xml:space="preserve"> disponibilizar, no mínimo, 03 (três) capelas mortuárias, nas condições mencionadas no item 6.1.2. deste TERMO DE REFERÊNCIA;</w:t>
      </w:r>
    </w:p>
    <w:p>
      <w:pPr>
        <w:pStyle w:val="Default"/>
        <w:ind w:left="283"/>
        <w:jc w:val="both"/>
        <w:rPr>
          <w:b/>
          <w:color w:val="auto"/>
        </w:rPr>
      </w:pPr>
      <w:r>
        <w:rPr>
          <w:b/>
          <w:color w:val="auto"/>
        </w:rPr>
      </w:r>
    </w:p>
    <w:p>
      <w:pPr>
        <w:pStyle w:val="Default"/>
        <w:ind w:left="283"/>
        <w:jc w:val="both"/>
        <w:rPr/>
      </w:pPr>
      <w:r>
        <w:rPr>
          <w:b/>
          <w:bCs/>
          <w:color w:val="auto"/>
          <w:kern w:val="0"/>
        </w:rPr>
        <w:t>15.2.17</w:t>
      </w:r>
      <w:r>
        <w:rPr>
          <w:b/>
          <w:bCs/>
          <w:color w:val="auto"/>
        </w:rPr>
        <w:t>.</w:t>
      </w:r>
      <w:r>
        <w:rPr>
          <w:color w:val="auto"/>
        </w:rPr>
        <w:t xml:space="preserve"> divulgar ao usuário a possibilidade de contratação do Padrão I – Básico/Simples e fornecer o serviço de padrão superior pelo preço daquele não disponível, no caso da falta de um dos itens padrão integrantes da tabela, sendo vedada a cobrança de qualquer valor adicional;</w:t>
      </w:r>
    </w:p>
    <w:p>
      <w:pPr>
        <w:pStyle w:val="Default"/>
        <w:ind w:left="283"/>
        <w:jc w:val="both"/>
        <w:rPr>
          <w:color w:val="auto"/>
        </w:rPr>
      </w:pPr>
      <w:r>
        <w:rPr>
          <w:color w:val="auto"/>
        </w:rPr>
      </w:r>
    </w:p>
    <w:p>
      <w:pPr>
        <w:pStyle w:val="Default"/>
        <w:ind w:left="283"/>
        <w:jc w:val="both"/>
        <w:rPr/>
      </w:pPr>
      <w:r>
        <w:rPr>
          <w:b/>
          <w:bCs/>
          <w:color w:val="auto"/>
          <w:kern w:val="0"/>
        </w:rPr>
        <w:t>15.2.18</w:t>
      </w:r>
      <w:r>
        <w:rPr>
          <w:b/>
          <w:bCs/>
          <w:color w:val="auto"/>
        </w:rPr>
        <w:t>.</w:t>
      </w:r>
      <w:r>
        <w:rPr>
          <w:color w:val="auto"/>
        </w:rPr>
        <w:t xml:space="preserve"> cumprir a tabela de preços, observando valores dos padrões básico e especial, aprovados pelo CONCEDENTE;</w:t>
      </w:r>
    </w:p>
    <w:p>
      <w:pPr>
        <w:pStyle w:val="Default"/>
        <w:ind w:left="283"/>
        <w:jc w:val="both"/>
        <w:rPr>
          <w:color w:val="auto"/>
        </w:rPr>
      </w:pPr>
      <w:r>
        <w:rPr>
          <w:color w:val="auto"/>
        </w:rPr>
      </w:r>
    </w:p>
    <w:p>
      <w:pPr>
        <w:pStyle w:val="Default"/>
        <w:ind w:left="283"/>
        <w:jc w:val="both"/>
        <w:rPr/>
      </w:pPr>
      <w:r>
        <w:rPr>
          <w:b/>
          <w:color w:val="auto"/>
        </w:rPr>
        <w:t>15.</w:t>
      </w:r>
      <w:r>
        <w:rPr>
          <w:b/>
          <w:bCs/>
          <w:color w:val="auto"/>
          <w:kern w:val="0"/>
        </w:rPr>
        <w:t>2.</w:t>
      </w:r>
      <w:r>
        <w:rPr>
          <w:b/>
          <w:color w:val="auto"/>
        </w:rPr>
        <w:t xml:space="preserve">19. </w:t>
      </w:r>
      <w:r>
        <w:rPr>
          <w:color w:val="auto"/>
        </w:rPr>
        <w:t>fornecer ao Órgão Gestor, até o dia 10 (dez) do mês subsequente a relação de todos os sepultamentos realizados no mês anterior, constando o nome do de cujus, a data do sepultamento e o local onde foi sepultado;</w:t>
      </w:r>
    </w:p>
    <w:p>
      <w:pPr>
        <w:pStyle w:val="Default"/>
        <w:ind w:left="283"/>
        <w:jc w:val="both"/>
        <w:rPr>
          <w:color w:val="auto"/>
        </w:rPr>
      </w:pPr>
      <w:r>
        <w:rPr>
          <w:color w:val="auto"/>
        </w:rPr>
      </w:r>
    </w:p>
    <w:p>
      <w:pPr>
        <w:pStyle w:val="Default"/>
        <w:ind w:left="283"/>
        <w:jc w:val="both"/>
        <w:rPr/>
      </w:pPr>
      <w:r>
        <w:rPr>
          <w:b/>
          <w:bCs/>
          <w:color w:val="auto"/>
        </w:rPr>
        <w:t>15.</w:t>
      </w:r>
      <w:r>
        <w:rPr>
          <w:b/>
          <w:bCs/>
          <w:color w:val="auto"/>
          <w:kern w:val="0"/>
        </w:rPr>
        <w:t>2.</w:t>
      </w:r>
      <w:r>
        <w:rPr>
          <w:b/>
          <w:bCs/>
          <w:color w:val="auto"/>
        </w:rPr>
        <w:t>20.</w:t>
      </w:r>
      <w:r>
        <w:rPr>
          <w:color w:val="auto"/>
        </w:rPr>
        <w:t xml:space="preserve"> prestar gratuitamente, nos termos de contraprestação da concessão, serviço funerário a pessoas e/ou famílias em situação de vulnerabilidade social mediante prévia solicitação do CONCEDENTE na proporção de 12% (doze por cento) do total dos serviços funerários prestados mensalmente pela</w:t>
      </w:r>
      <w:r>
        <w:rPr>
          <w:color w:val="auto"/>
          <w:lang w:bidi="ar-SA"/>
        </w:rPr>
        <w:t>(s)</w:t>
      </w:r>
      <w:r>
        <w:rPr>
          <w:color w:val="auto"/>
        </w:rPr>
        <w:t xml:space="preserve"> CONCESSIONÁRIA</w:t>
      </w:r>
      <w:r>
        <w:rPr>
          <w:color w:val="auto"/>
          <w:lang w:bidi="ar-SA"/>
        </w:rPr>
        <w:t>(s)</w:t>
      </w:r>
      <w:r>
        <w:rPr>
          <w:color w:val="auto"/>
        </w:rPr>
        <w:t xml:space="preserve"> com base nos dados do penúltimo mês imediatamente anterior ao da prestação, respeitado o rodízio, nos termos da Lei;</w:t>
      </w:r>
    </w:p>
    <w:p>
      <w:pPr>
        <w:pStyle w:val="Default"/>
        <w:ind w:left="283"/>
        <w:jc w:val="both"/>
        <w:rPr>
          <w:b/>
          <w:bCs/>
          <w:color w:val="auto"/>
          <w:kern w:val="0"/>
        </w:rPr>
      </w:pPr>
      <w:r>
        <w:rPr>
          <w:b/>
          <w:bCs/>
          <w:color w:val="auto"/>
          <w:kern w:val="0"/>
        </w:rPr>
      </w:r>
    </w:p>
    <w:p>
      <w:pPr>
        <w:pStyle w:val="Default"/>
        <w:ind w:left="283"/>
        <w:jc w:val="both"/>
        <w:rPr/>
      </w:pPr>
      <w:r>
        <w:rPr>
          <w:b/>
          <w:bCs/>
          <w:color w:val="auto"/>
          <w:kern w:val="0"/>
        </w:rPr>
        <w:t>15.2.21.</w:t>
      </w:r>
      <w:r>
        <w:rPr>
          <w:color w:val="auto"/>
          <w:kern w:val="0"/>
        </w:rPr>
        <w:t xml:space="preserve"> informar de forma adequada, clara e suficiente, sobre os diferentes produtos e serviços, com especificação correta de quantidade, características, composição, qualidade, tributos incidentes e preço, em atenção as normas consumeristas regradas pelo Código de Defesa do Consumidor, sob pena da revogação da concessão e rescisão do contrato;  </w:t>
      </w:r>
    </w:p>
    <w:p>
      <w:pPr>
        <w:pStyle w:val="Default"/>
        <w:ind w:left="283"/>
        <w:jc w:val="both"/>
        <w:rPr>
          <w:b/>
          <w:bCs/>
          <w:color w:val="auto"/>
          <w:kern w:val="0"/>
        </w:rPr>
      </w:pPr>
      <w:r>
        <w:rPr>
          <w:b/>
          <w:bCs/>
          <w:color w:val="auto"/>
          <w:kern w:val="0"/>
        </w:rPr>
      </w:r>
    </w:p>
    <w:p>
      <w:pPr>
        <w:pStyle w:val="Default"/>
        <w:ind w:left="283"/>
        <w:jc w:val="both"/>
        <w:rPr/>
      </w:pPr>
      <w:r>
        <w:rPr>
          <w:b/>
          <w:bCs/>
          <w:color w:val="auto"/>
          <w:kern w:val="0"/>
        </w:rPr>
        <w:t>15.2.22.</w:t>
      </w:r>
      <w:r>
        <w:rPr>
          <w:b/>
          <w:color w:val="auto"/>
        </w:rPr>
        <w:t xml:space="preserve"> </w:t>
      </w:r>
      <w:r>
        <w:rPr>
          <w:color w:val="auto"/>
        </w:rPr>
        <w:t>apresentar, na contratação, o mostruário dos materiais pertinentes para livre escolha do usuário, podendo valer-se de catálogo digital em sítio próprio na internet;</w:t>
      </w:r>
    </w:p>
    <w:p>
      <w:pPr>
        <w:pStyle w:val="Default"/>
        <w:ind w:left="283"/>
        <w:jc w:val="both"/>
        <w:rPr>
          <w:b/>
          <w:color w:val="auto"/>
        </w:rPr>
      </w:pPr>
      <w:r>
        <w:rPr>
          <w:b/>
          <w:color w:val="auto"/>
        </w:rPr>
      </w:r>
    </w:p>
    <w:p>
      <w:pPr>
        <w:pStyle w:val="Default"/>
        <w:ind w:left="283"/>
        <w:jc w:val="both"/>
        <w:rPr/>
      </w:pPr>
      <w:r>
        <w:rPr>
          <w:b/>
          <w:bCs/>
          <w:color w:val="auto"/>
          <w:kern w:val="0"/>
        </w:rPr>
        <w:t xml:space="preserve">15.2.23. </w:t>
      </w:r>
      <w:r>
        <w:rPr>
          <w:color w:val="auto"/>
        </w:rPr>
        <w:t>atender as solicitações das autoridades competentes para o recolhimento de cadáveres em locais públicos ou privados dentro dos limites territoriais do CONCEDENTE;</w:t>
      </w:r>
    </w:p>
    <w:p>
      <w:pPr>
        <w:pStyle w:val="Default"/>
        <w:ind w:left="283"/>
        <w:jc w:val="both"/>
        <w:rPr>
          <w:b/>
          <w:bCs/>
          <w:lang w:eastAsia="en-US"/>
        </w:rPr>
      </w:pPr>
      <w:r>
        <w:rPr>
          <w:b/>
          <w:bCs/>
          <w:lang w:eastAsia="en-US"/>
        </w:rPr>
      </w:r>
    </w:p>
    <w:p>
      <w:pPr>
        <w:pStyle w:val="Standard"/>
        <w:numPr>
          <w:ilvl w:val="0"/>
          <w:numId w:val="34"/>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15.2.24.</w:t>
      </w:r>
      <w:r>
        <w:rPr>
          <w:rFonts w:cs="Times New Roman" w:ascii="Times New Roman" w:hAnsi="Times New Roman"/>
          <w:b/>
        </w:rPr>
        <w:t xml:space="preserve"> </w:t>
      </w:r>
      <w:r>
        <w:rPr>
          <w:rFonts w:cs="Times New Roman" w:ascii="Times New Roman" w:hAnsi="Times New Roman"/>
        </w:rPr>
        <w:t>indenizar terceiros e ao CONCEDENTE os possíveis prejuízos ou danos, decorrentes de dolo ou culpa, durante a contratação, em conformidade com o artigo 120 da Lei n.º 14.133/21;</w:t>
      </w:r>
    </w:p>
    <w:p>
      <w:pPr>
        <w:pStyle w:val="Default"/>
        <w:ind w:left="283"/>
        <w:jc w:val="both"/>
        <w:rPr>
          <w:b/>
          <w:color w:val="auto"/>
        </w:rPr>
      </w:pPr>
      <w:r>
        <w:rPr>
          <w:b/>
          <w:color w:val="auto"/>
        </w:rPr>
      </w:r>
    </w:p>
    <w:p>
      <w:pPr>
        <w:pStyle w:val="Standard"/>
        <w:keepLines/>
        <w:numPr>
          <w:ilvl w:val="0"/>
          <w:numId w:val="35"/>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15.2.25.</w:t>
      </w:r>
      <w:r>
        <w:rPr>
          <w:rFonts w:cs="Times New Roman" w:ascii="Times New Roman" w:hAnsi="Times New Roman"/>
          <w:b/>
        </w:rPr>
        <w:t xml:space="preserve"> </w:t>
      </w:r>
      <w:r>
        <w:rPr>
          <w:rFonts w:cs="Times New Roman" w:ascii="Times New Roman" w:hAnsi="Times New Roman"/>
        </w:rPr>
        <w:t>arcar com todas as despesas necessárias à execução do objeto contratado;</w:t>
      </w:r>
    </w:p>
    <w:p>
      <w:pPr>
        <w:pStyle w:val="Standard"/>
        <w:keepLines/>
        <w:numPr>
          <w:ilvl w:val="0"/>
          <w:numId w:val="36"/>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b/>
          <w:bCs/>
          <w:kern w:val="0"/>
        </w:rPr>
      </w:pPr>
      <w:r>
        <w:rPr>
          <w:rFonts w:cs="Times New Roman" w:ascii="Times New Roman" w:hAnsi="Times New Roman"/>
          <w:b/>
          <w:bCs/>
          <w:kern w:val="0"/>
        </w:rPr>
      </w:r>
    </w:p>
    <w:p>
      <w:pPr>
        <w:pStyle w:val="Standard"/>
        <w:numPr>
          <w:ilvl w:val="0"/>
          <w:numId w:val="37"/>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15.2.2</w:t>
      </w:r>
      <w:r>
        <w:rPr>
          <w:rFonts w:cs="Times New Roman" w:ascii="Times New Roman" w:hAnsi="Times New Roman"/>
          <w:b/>
          <w:bCs/>
        </w:rPr>
        <w:t>6.</w:t>
      </w:r>
      <w:r>
        <w:rPr>
          <w:rFonts w:cs="Times New Roman" w:ascii="Times New Roman" w:hAnsi="Times New Roman"/>
        </w:rPr>
        <w:t xml:space="preserve"> cumprir fielmente o contrato, em compatibilidade com as obrigações assumidas;</w:t>
      </w:r>
    </w:p>
    <w:p>
      <w:pPr>
        <w:pStyle w:val="Default"/>
        <w:ind w:left="283"/>
        <w:jc w:val="both"/>
        <w:rPr>
          <w:b/>
          <w:color w:val="auto"/>
        </w:rPr>
      </w:pPr>
      <w:r>
        <w:rPr>
          <w:b/>
          <w:color w:val="auto"/>
        </w:rPr>
      </w:r>
    </w:p>
    <w:p>
      <w:pPr>
        <w:pStyle w:val="Standard"/>
        <w:keepLines/>
        <w:numPr>
          <w:ilvl w:val="0"/>
          <w:numId w:val="38"/>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15.2.2</w:t>
      </w:r>
      <w:r>
        <w:rPr>
          <w:rFonts w:cs="Times New Roman" w:ascii="Times New Roman" w:hAnsi="Times New Roman"/>
          <w:b/>
          <w:bCs/>
        </w:rPr>
        <w:t xml:space="preserve">7. </w:t>
      </w:r>
      <w:r>
        <w:rPr>
          <w:rFonts w:cs="Times New Roman" w:ascii="Times New Roman" w:hAnsi="Times New Roman"/>
        </w:rPr>
        <w:t>refazer os serviços em desacordo no prazo estabelecido neste TERMO DE REFERÊNCIA, ou não sendo possível, indenizar o valor corresponde</w:t>
      </w:r>
      <w:r>
        <w:rPr>
          <w:rFonts w:eastAsia="Verdana" w:cs="Times New Roman" w:ascii="Times New Roman" w:hAnsi="Times New Roman"/>
        </w:rPr>
        <w:t>n</w:t>
      </w:r>
      <w:r>
        <w:rPr>
          <w:rFonts w:cs="Times New Roman" w:ascii="Times New Roman" w:hAnsi="Times New Roman"/>
        </w:rPr>
        <w:t>te acrescido de perdas e danos, mediante toda e qualquer im</w:t>
      </w:r>
      <w:r>
        <w:rPr>
          <w:rFonts w:eastAsia="Verdana" w:cs="Times New Roman" w:ascii="Times New Roman" w:hAnsi="Times New Roman"/>
        </w:rPr>
        <w:t>p</w:t>
      </w:r>
      <w:r>
        <w:rPr>
          <w:rFonts w:cs="Times New Roman" w:ascii="Times New Roman" w:hAnsi="Times New Roman"/>
        </w:rPr>
        <w:t>ugnação feita pelo CONCEDENTE;</w:t>
      </w:r>
    </w:p>
    <w:p>
      <w:pPr>
        <w:pStyle w:val="Standard"/>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b/>
          <w:bCs/>
        </w:rPr>
      </w:pPr>
      <w:r>
        <w:rPr>
          <w:rFonts w:cs="Times New Roman" w:ascii="Times New Roman" w:hAnsi="Times New Roman"/>
          <w:b/>
          <w:bCs/>
        </w:rPr>
      </w:r>
    </w:p>
    <w:p>
      <w:pPr>
        <w:pStyle w:val="Standard"/>
        <w:numPr>
          <w:ilvl w:val="0"/>
          <w:numId w:val="39"/>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15.2.28</w:t>
      </w:r>
      <w:r>
        <w:rPr>
          <w:rFonts w:cs="Times New Roman" w:ascii="Times New Roman" w:hAnsi="Times New Roman"/>
          <w:b/>
          <w:bCs/>
        </w:rPr>
        <w:t xml:space="preserve">. </w:t>
      </w:r>
      <w:r>
        <w:rPr>
          <w:rFonts w:cs="Times New Roman" w:ascii="Times New Roman" w:hAnsi="Times New Roman"/>
        </w:rPr>
        <w:t>manter todas as condições de habilitação e qualificação exigidas na licitação, durante toda a execução do contrato e em compatibilidade com as obrigações assumidas;</w:t>
      </w:r>
    </w:p>
    <w:p>
      <w:pPr>
        <w:pStyle w:val="Standard"/>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b/>
          <w:bCs/>
        </w:rPr>
      </w:pPr>
      <w:r>
        <w:rPr>
          <w:rFonts w:cs="Times New Roman" w:ascii="Times New Roman" w:hAnsi="Times New Roman"/>
          <w:b/>
          <w:bCs/>
        </w:rPr>
      </w:r>
    </w:p>
    <w:p>
      <w:pPr>
        <w:pStyle w:val="Standard"/>
        <w:keepLines/>
        <w:numPr>
          <w:ilvl w:val="0"/>
          <w:numId w:val="40"/>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15.2.29</w:t>
      </w:r>
      <w:r>
        <w:rPr>
          <w:rFonts w:cs="Times New Roman" w:ascii="Times New Roman" w:hAnsi="Times New Roman"/>
          <w:b/>
          <w:bCs/>
        </w:rPr>
        <w:t xml:space="preserve">. </w:t>
      </w:r>
      <w:r>
        <w:rPr>
          <w:rFonts w:cs="Times New Roman" w:ascii="Times New Roman" w:hAnsi="Times New Roman"/>
        </w:rPr>
        <w:t>responder pela qualidade, quantidade, validade, segurança e demais características do objeto, bem como a observação às normas técnicas;</w:t>
      </w:r>
    </w:p>
    <w:p>
      <w:pPr>
        <w:pStyle w:val="Standard"/>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b/>
          <w:bCs/>
        </w:rPr>
      </w:pPr>
      <w:r>
        <w:rPr>
          <w:rFonts w:cs="Times New Roman" w:ascii="Times New Roman" w:hAnsi="Times New Roman"/>
          <w:b/>
          <w:bCs/>
        </w:rPr>
      </w:r>
    </w:p>
    <w:p>
      <w:pPr>
        <w:pStyle w:val="Standard"/>
        <w:numPr>
          <w:ilvl w:val="0"/>
          <w:numId w:val="41"/>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eastAsia="Arial" w:cs="Times New Roman" w:ascii="Times New Roman" w:hAnsi="Times New Roman"/>
          <w:b/>
          <w:bCs/>
          <w:kern w:val="0"/>
        </w:rPr>
        <w:t>15.2.30</w:t>
      </w:r>
      <w:r>
        <w:rPr>
          <w:rFonts w:eastAsia="Arial" w:cs="Times New Roman" w:ascii="Times New Roman" w:hAnsi="Times New Roman"/>
          <w:b/>
          <w:bCs/>
        </w:rPr>
        <w:t xml:space="preserve">. </w:t>
      </w:r>
      <w:r>
        <w:rPr>
          <w:rFonts w:eastAsia="Arial" w:cs="Times New Roman" w:ascii="Times New Roman" w:hAnsi="Times New Roman"/>
        </w:rPr>
        <w:t>não subcontratar o objeto deste contrato, salvo esteja expressamente permitido neste TERMO DE REFERÊNCIA;</w:t>
      </w:r>
    </w:p>
    <w:p>
      <w:pPr>
        <w:pStyle w:val="Standard"/>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eastAsia="Arial" w:cs="Times New Roman"/>
          <w:b/>
          <w:bCs/>
        </w:rPr>
      </w:pPr>
      <w:r>
        <w:rPr>
          <w:rFonts w:eastAsia="Arial" w:cs="Times New Roman" w:ascii="Times New Roman" w:hAnsi="Times New Roman"/>
          <w:b/>
          <w:bCs/>
        </w:rPr>
      </w:r>
    </w:p>
    <w:p>
      <w:pPr>
        <w:pStyle w:val="Standard"/>
        <w:numPr>
          <w:ilvl w:val="0"/>
          <w:numId w:val="42"/>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eastAsia="Arial" w:cs="Times New Roman" w:ascii="Times New Roman" w:hAnsi="Times New Roman"/>
          <w:b/>
          <w:bCs/>
          <w:kern w:val="0"/>
        </w:rPr>
        <w:t>15.2.31</w:t>
      </w:r>
      <w:r>
        <w:rPr>
          <w:rFonts w:eastAsia="Arial" w:cs="Times New Roman" w:ascii="Times New Roman" w:hAnsi="Times New Roman"/>
          <w:b/>
          <w:bCs/>
        </w:rPr>
        <w:t xml:space="preserve">. </w:t>
      </w:r>
      <w:r>
        <w:rPr>
          <w:rFonts w:eastAsia="Arial" w:cs="Times New Roman" w:ascii="Times New Roman" w:hAnsi="Times New Roman"/>
        </w:rPr>
        <w:t>atribuir os serviços a profissionais legalmente habilitados e idôneos;</w:t>
      </w:r>
    </w:p>
    <w:p>
      <w:pPr>
        <w:pStyle w:val="Standard"/>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eastAsia="Arial" w:cs="Times New Roman"/>
          <w:b/>
          <w:bCs/>
        </w:rPr>
      </w:pPr>
      <w:r>
        <w:rPr>
          <w:rFonts w:eastAsia="Arial" w:cs="Times New Roman" w:ascii="Times New Roman" w:hAnsi="Times New Roman"/>
          <w:b/>
          <w:bCs/>
        </w:rPr>
      </w:r>
    </w:p>
    <w:p>
      <w:pPr>
        <w:pStyle w:val="Standard"/>
        <w:keepLines/>
        <w:numPr>
          <w:ilvl w:val="0"/>
          <w:numId w:val="43"/>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eastAsia="Arial" w:cs="Times New Roman" w:ascii="Times New Roman" w:hAnsi="Times New Roman"/>
          <w:b/>
          <w:bCs/>
          <w:kern w:val="0"/>
        </w:rPr>
        <w:t>15.2.32</w:t>
      </w:r>
      <w:r>
        <w:rPr>
          <w:rFonts w:eastAsia="Arial" w:cs="Times New Roman" w:ascii="Times New Roman" w:hAnsi="Times New Roman"/>
          <w:b/>
          <w:bCs/>
        </w:rPr>
        <w:t xml:space="preserve">. </w:t>
      </w:r>
      <w:r>
        <w:rPr>
          <w:rFonts w:eastAsia="Arial" w:cs="Times New Roman" w:ascii="Times New Roman" w:hAnsi="Times New Roman"/>
        </w:rPr>
        <w:t>apresentar ao CONCEDENTE, no prazo máximo de 3 (três) dias úteis, a contar da data de solicitação, documentação relativa aos empregados da</w:t>
      </w:r>
      <w:r>
        <w:rPr>
          <w:rFonts w:eastAsia="Times New Roman" w:cs="Times New Roman" w:ascii="Times New Roman" w:hAnsi="Times New Roman"/>
          <w:lang w:bidi="ar-SA"/>
        </w:rPr>
        <w:t>(s)</w:t>
      </w:r>
      <w:r>
        <w:rPr>
          <w:rFonts w:eastAsia="Arial" w:cs="Times New Roman" w:ascii="Times New Roman" w:hAnsi="Times New Roman"/>
        </w:rPr>
        <w:t xml:space="preserve"> CONCESSIONÁRIA</w:t>
      </w:r>
      <w:r>
        <w:rPr>
          <w:rFonts w:eastAsia="Times New Roman" w:cs="Times New Roman" w:ascii="Times New Roman" w:hAnsi="Times New Roman"/>
          <w:lang w:bidi="ar-SA"/>
        </w:rPr>
        <w:t>(s)</w:t>
      </w:r>
      <w:r>
        <w:rPr>
          <w:rFonts w:eastAsia="Arial" w:cs="Times New Roman" w:ascii="Times New Roman" w:hAnsi="Times New Roman"/>
        </w:rPr>
        <w:t>, resultante de ações judiciais, na qual o CONCEDENTE encontra-se no polo passivo da ação;</w:t>
      </w:r>
    </w:p>
    <w:p>
      <w:pPr>
        <w:pStyle w:val="Default"/>
        <w:ind w:left="283"/>
        <w:jc w:val="both"/>
        <w:rPr>
          <w:b/>
          <w:bCs/>
          <w:color w:val="auto"/>
        </w:rPr>
      </w:pPr>
      <w:r>
        <w:rPr>
          <w:b/>
          <w:bCs/>
          <w:color w:val="auto"/>
        </w:rPr>
      </w:r>
    </w:p>
    <w:p>
      <w:pPr>
        <w:pStyle w:val="Standard"/>
        <w:numPr>
          <w:ilvl w:val="0"/>
          <w:numId w:val="44"/>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eastAsia="Arial" w:cs="Times New Roman" w:ascii="Times New Roman" w:hAnsi="Times New Roman"/>
          <w:b/>
          <w:bCs/>
          <w:kern w:val="0"/>
        </w:rPr>
        <w:t>15.2.33</w:t>
      </w:r>
      <w:r>
        <w:rPr>
          <w:rFonts w:eastAsia="Arial" w:cs="Times New Roman" w:ascii="Times New Roman" w:hAnsi="Times New Roman"/>
          <w:b/>
          <w:bCs/>
        </w:rPr>
        <w:t xml:space="preserve">. </w:t>
      </w:r>
      <w:r>
        <w:rPr>
          <w:rFonts w:eastAsia="Arial" w:cs="Times New Roman" w:ascii="Times New Roman" w:hAnsi="Times New Roman"/>
        </w:rPr>
        <w:t>cumprir as exigências de reserva de cargos prevista em lei, bem como em outras normas específicas, para pessoa com deficiência, para reabilitado da Previdência Social e para aprendiz;</w:t>
      </w:r>
    </w:p>
    <w:p>
      <w:pPr>
        <w:pStyle w:val="ListParagraph"/>
        <w:rPr/>
      </w:pPr>
      <w:r>
        <w:rPr/>
      </w:r>
    </w:p>
    <w:p>
      <w:pPr>
        <w:pStyle w:val="Standard"/>
        <w:numPr>
          <w:ilvl w:val="0"/>
          <w:numId w:val="45"/>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eastAsia="Arial" w:cs="Times New Roman" w:ascii="Times New Roman" w:hAnsi="Times New Roman"/>
          <w:b/>
          <w:bCs/>
          <w:kern w:val="0"/>
        </w:rPr>
        <w:t>15.2.34</w:t>
      </w:r>
      <w:r>
        <w:rPr>
          <w:rFonts w:eastAsia="Arial" w:cs="Times New Roman" w:ascii="Times New Roman" w:hAnsi="Times New Roman"/>
          <w:b/>
          <w:bCs/>
        </w:rPr>
        <w:t>.</w:t>
      </w:r>
      <w:r>
        <w:rPr>
          <w:rFonts w:eastAsia="Arial" w:cs="Times New Roman" w:ascii="Times New Roman" w:hAnsi="Times New Roman"/>
          <w:bCs/>
        </w:rPr>
        <w:t xml:space="preserve"> Emitir a </w:t>
      </w:r>
      <w:r>
        <w:rPr/>
        <w:t xml:space="preserve">Guia de Autorização para Liberação e Sepultamento de Corpos (GALSC), por meio eletrônico, por meio de formulário online disponibilizado pelo Município, na quantidade de vias conforme o disposto no art. 16, </w:t>
      </w:r>
      <w:r>
        <w:rPr>
          <w:rFonts w:cs="Liberation Serif"/>
        </w:rPr>
        <w:t>§</w:t>
      </w:r>
      <w:r>
        <w:rPr/>
        <w:t xml:space="preserve"> 2º, do </w:t>
      </w:r>
      <w:r>
        <w:rPr>
          <w:rFonts w:cs="Times New Roman" w:ascii="Times New Roman" w:hAnsi="Times New Roman"/>
          <w:kern w:val="0"/>
        </w:rPr>
        <w:t>Decreto Municipal n.º 24.134, de 19 de março de 2026</w:t>
      </w:r>
      <w:r>
        <w:rPr/>
        <w:t>.</w:t>
      </w:r>
    </w:p>
    <w:p>
      <w:pPr>
        <w:pStyle w:val="Default"/>
        <w:ind w:left="283"/>
        <w:jc w:val="both"/>
        <w:rPr>
          <w:b/>
          <w:bCs/>
          <w:color w:val="auto"/>
        </w:rPr>
      </w:pPr>
      <w:r>
        <w:rPr>
          <w:b/>
          <w:bCs/>
          <w:color w:val="auto"/>
        </w:rPr>
      </w:r>
    </w:p>
    <w:p>
      <w:pPr>
        <w:pStyle w:val="Default"/>
        <w:ind w:left="283"/>
        <w:jc w:val="both"/>
        <w:rPr/>
      </w:pPr>
      <w:r>
        <w:rPr>
          <w:rFonts w:eastAsia="Arial"/>
          <w:b/>
          <w:bCs/>
          <w:color w:val="auto"/>
          <w:kern w:val="0"/>
        </w:rPr>
        <w:t>15.2.3</w:t>
      </w:r>
      <w:r>
        <w:rPr>
          <w:b/>
          <w:bCs/>
          <w:color w:val="auto"/>
        </w:rPr>
        <w:t xml:space="preserve">4. </w:t>
      </w:r>
      <w:r>
        <w:rPr>
          <w:color w:val="auto"/>
        </w:rPr>
        <w:t>informar ao setor financeiro da Secretaria requisitante</w:t>
      </w:r>
      <w:r>
        <w:rPr>
          <w:color w:val="auto"/>
          <w:lang w:bidi="ar-SA"/>
        </w:rPr>
        <w:t>, durante o período de vigência do contrato, qualquer alteração de endereço, telefone, corr</w:t>
      </w:r>
      <w:r>
        <w:rPr>
          <w:color w:val="auto"/>
        </w:rPr>
        <w:t>eio eletrônico (e-mail) ou outros dados.</w:t>
      </w:r>
    </w:p>
    <w:p>
      <w:pPr>
        <w:pStyle w:val="Default"/>
        <w:jc w:val="both"/>
        <w:rPr>
          <w:color w:val="auto"/>
        </w:rPr>
      </w:pPr>
      <w:r>
        <w:rPr>
          <w:color w:val="auto"/>
        </w:rPr>
      </w:r>
    </w:p>
    <w:p>
      <w:pPr>
        <w:pStyle w:val="Default"/>
        <w:jc w:val="both"/>
        <w:rPr/>
      </w:pPr>
      <w:r>
        <w:rPr>
          <w:b/>
          <w:color w:val="auto"/>
        </w:rPr>
        <w:t xml:space="preserve">15.3. </w:t>
      </w:r>
      <w:r>
        <w:rPr>
          <w:b/>
          <w:bCs/>
          <w:color w:val="auto"/>
        </w:rPr>
        <w:t>É vedado à(s) CONCESSIONÁRIA(S)</w:t>
      </w:r>
      <w:r>
        <w:rPr>
          <w:color w:val="auto"/>
        </w:rPr>
        <w:t>:</w:t>
      </w:r>
    </w:p>
    <w:p>
      <w:pPr>
        <w:pStyle w:val="Default"/>
        <w:jc w:val="both"/>
        <w:rPr>
          <w:b/>
          <w:color w:val="auto"/>
        </w:rPr>
      </w:pPr>
      <w:r>
        <w:rPr>
          <w:b/>
          <w:color w:val="auto"/>
        </w:rPr>
      </w:r>
    </w:p>
    <w:p>
      <w:pPr>
        <w:pStyle w:val="Default"/>
        <w:ind w:left="283"/>
        <w:jc w:val="both"/>
        <w:rPr/>
      </w:pPr>
      <w:r>
        <w:rPr>
          <w:b/>
          <w:color w:val="auto"/>
        </w:rPr>
        <w:t xml:space="preserve">15.3.1. </w:t>
      </w:r>
      <w:r>
        <w:rPr>
          <w:color w:val="auto"/>
        </w:rPr>
        <w:t>praticar preços, do Padrão I – Básico/Simples e do Padrão II - Especial, inferior ou superior ao permitido;</w:t>
      </w:r>
    </w:p>
    <w:p>
      <w:pPr>
        <w:pStyle w:val="Default"/>
        <w:ind w:left="283"/>
        <w:jc w:val="both"/>
        <w:rPr>
          <w:color w:val="auto"/>
        </w:rPr>
      </w:pPr>
      <w:r>
        <w:rPr>
          <w:color w:val="auto"/>
        </w:rPr>
      </w:r>
    </w:p>
    <w:p>
      <w:pPr>
        <w:pStyle w:val="Standard"/>
        <w:ind w:left="283"/>
        <w:jc w:val="both"/>
        <w:rPr/>
      </w:pPr>
      <w:r>
        <w:rPr>
          <w:rFonts w:cs="Times New Roman" w:ascii="Times New Roman" w:hAnsi="Times New Roman"/>
          <w:b/>
        </w:rPr>
        <w:t xml:space="preserve">15.3.2. </w:t>
      </w:r>
      <w:r>
        <w:rPr>
          <w:rFonts w:cs="Times New Roman" w:ascii="Times New Roman" w:hAnsi="Times New Roman"/>
        </w:rPr>
        <w:t>vender ataúdes por empresa não CONCESSIONÁRIA;</w:t>
      </w:r>
    </w:p>
    <w:p>
      <w:pPr>
        <w:pStyle w:val="Standard"/>
        <w:ind w:left="283"/>
        <w:jc w:val="both"/>
        <w:rPr>
          <w:rFonts w:ascii="Times New Roman" w:hAnsi="Times New Roman" w:cs="Times New Roman"/>
        </w:rPr>
      </w:pPr>
      <w:r>
        <w:rPr>
          <w:rFonts w:cs="Times New Roman" w:ascii="Times New Roman" w:hAnsi="Times New Roman"/>
        </w:rPr>
      </w:r>
    </w:p>
    <w:p>
      <w:pPr>
        <w:pStyle w:val="Standard"/>
        <w:ind w:left="283"/>
        <w:jc w:val="both"/>
        <w:rPr/>
      </w:pPr>
      <w:r>
        <w:rPr>
          <w:rFonts w:cs="Times New Roman" w:ascii="Times New Roman" w:hAnsi="Times New Roman"/>
          <w:b/>
          <w:bCs/>
        </w:rPr>
        <w:t>15.3.3.</w:t>
      </w:r>
      <w:r>
        <w:rPr>
          <w:rFonts w:cs="Times New Roman" w:ascii="Times New Roman" w:hAnsi="Times New Roman"/>
        </w:rPr>
        <w:t xml:space="preserve"> expor e comercializar artigos fúnebres fora da área permitida;</w:t>
      </w:r>
    </w:p>
    <w:p>
      <w:pPr>
        <w:pStyle w:val="Standard"/>
        <w:ind w:left="283"/>
        <w:jc w:val="both"/>
        <w:rPr>
          <w:rFonts w:ascii="Times New Roman" w:hAnsi="Times New Roman" w:cs="Times New Roman"/>
        </w:rPr>
      </w:pPr>
      <w:r>
        <w:rPr>
          <w:rFonts w:cs="Times New Roman" w:ascii="Times New Roman" w:hAnsi="Times New Roman"/>
        </w:rPr>
      </w:r>
    </w:p>
    <w:p>
      <w:pPr>
        <w:pStyle w:val="Standard"/>
        <w:ind w:left="283"/>
        <w:jc w:val="both"/>
        <w:rPr/>
      </w:pPr>
      <w:r>
        <w:rPr>
          <w:rFonts w:cs="Times New Roman" w:ascii="Times New Roman" w:hAnsi="Times New Roman"/>
          <w:b/>
          <w:bCs/>
        </w:rPr>
        <w:t>15.3.4.</w:t>
      </w:r>
      <w:r>
        <w:rPr>
          <w:rFonts w:cs="Times New Roman" w:ascii="Times New Roman" w:hAnsi="Times New Roman"/>
        </w:rPr>
        <w:t xml:space="preserve"> exibir comercialmente produtos funerários em qualquer outro local, que não na sala própria de exposição, inclusive nos salões previstos para a realização de velórios, observados os itens </w:t>
      </w:r>
      <w:r>
        <w:rPr>
          <w:rFonts w:cs="Times New Roman" w:ascii="Times New Roman" w:hAnsi="Times New Roman"/>
          <w:kern w:val="0"/>
        </w:rPr>
        <w:t>15.2.12</w:t>
      </w:r>
      <w:r>
        <w:rPr>
          <w:rFonts w:cs="Times New Roman" w:ascii="Times New Roman" w:hAnsi="Times New Roman"/>
        </w:rPr>
        <w:t xml:space="preserve">. e </w:t>
      </w:r>
      <w:r>
        <w:rPr>
          <w:rFonts w:cs="Times New Roman" w:ascii="Times New Roman" w:hAnsi="Times New Roman"/>
          <w:kern w:val="0"/>
        </w:rPr>
        <w:t>15.2.22.</w:t>
      </w:r>
      <w:r>
        <w:rPr>
          <w:rFonts w:cs="Times New Roman" w:ascii="Times New Roman" w:hAnsi="Times New Roman"/>
        </w:rPr>
        <w:t xml:space="preserve"> deste TERMO DE REFERÊNCIA;</w:t>
      </w:r>
    </w:p>
    <w:p>
      <w:pPr>
        <w:pStyle w:val="Standard"/>
        <w:ind w:left="283"/>
        <w:jc w:val="both"/>
        <w:rPr>
          <w:rFonts w:ascii="Times New Roman" w:hAnsi="Times New Roman" w:cs="Times New Roman"/>
        </w:rPr>
      </w:pPr>
      <w:r>
        <w:rPr>
          <w:rFonts w:cs="Times New Roman" w:ascii="Times New Roman" w:hAnsi="Times New Roman"/>
        </w:rPr>
      </w:r>
    </w:p>
    <w:p>
      <w:pPr>
        <w:pStyle w:val="Standard"/>
        <w:ind w:left="283"/>
        <w:jc w:val="both"/>
        <w:rPr/>
      </w:pPr>
      <w:r>
        <w:rPr>
          <w:rFonts w:cs="Times New Roman" w:ascii="Times New Roman" w:hAnsi="Times New Roman"/>
          <w:b/>
          <w:bCs/>
        </w:rPr>
        <w:t xml:space="preserve">15.3.5. </w:t>
      </w:r>
      <w:r>
        <w:rPr>
          <w:rFonts w:cs="Times New Roman" w:ascii="Times New Roman" w:hAnsi="Times New Roman"/>
        </w:rPr>
        <w:t>efetuar, acobertar ou remunerar o agenciamento de funerais e de cadáveres, bem como manter plantão e oferecer serviços em hospitais, casas de saúde, delegacias de polícia e Instituto Médico Legal (IML), até o perímetro de 200 m (duzentos metros), por si ou por pessoas interpostas, ou por meio de funcionários de quaisquer instituições públicas ou privadas, incluindo-se nesta proibição os atos de contratação, quaisquer que sejam suas extensões;</w:t>
      </w:r>
    </w:p>
    <w:p>
      <w:pPr>
        <w:pStyle w:val="Standard"/>
        <w:ind w:left="283"/>
        <w:jc w:val="both"/>
        <w:rPr>
          <w:rFonts w:ascii="Times New Roman" w:hAnsi="Times New Roman" w:cs="Times New Roman"/>
        </w:rPr>
      </w:pPr>
      <w:r>
        <w:rPr>
          <w:rFonts w:cs="Times New Roman" w:ascii="Times New Roman" w:hAnsi="Times New Roman"/>
        </w:rPr>
      </w:r>
    </w:p>
    <w:p>
      <w:pPr>
        <w:pStyle w:val="Default"/>
        <w:ind w:left="283"/>
        <w:jc w:val="both"/>
        <w:rPr/>
      </w:pPr>
      <w:r>
        <w:rPr>
          <w:b/>
          <w:bCs/>
          <w:color w:val="auto"/>
        </w:rPr>
        <w:t xml:space="preserve">15.3.6. </w:t>
      </w:r>
      <w:r>
        <w:rPr>
          <w:color w:val="auto"/>
        </w:rPr>
        <w:t>fazer sepultamentos antes de decorrido o prazo de 12 (doze) horas contadas do momento do falecimento, sob pena da aplicação das sanções previstas no art. 50 e seguintes da Lei Complementar n.º 670 de 16 de dezembro de 2021, salvo quando:</w:t>
      </w:r>
    </w:p>
    <w:p>
      <w:pPr>
        <w:pStyle w:val="Default"/>
        <w:ind w:left="283"/>
        <w:jc w:val="both"/>
        <w:rPr>
          <w:color w:val="auto"/>
        </w:rPr>
      </w:pPr>
      <w:r>
        <w:rPr>
          <w:color w:val="auto"/>
        </w:rPr>
      </w:r>
    </w:p>
    <w:p>
      <w:pPr>
        <w:pStyle w:val="Default"/>
        <w:ind w:left="567"/>
        <w:jc w:val="both"/>
        <w:rPr/>
      </w:pPr>
      <w:r>
        <w:rPr>
          <w:b/>
          <w:bCs/>
          <w:color w:val="auto"/>
        </w:rPr>
        <w:t xml:space="preserve">a) </w:t>
      </w:r>
      <w:r>
        <w:rPr>
          <w:color w:val="auto"/>
        </w:rPr>
        <w:t>a causa da morte for moléstia contagiosa ou epidêmica; ou</w:t>
      </w:r>
    </w:p>
    <w:p>
      <w:pPr>
        <w:pStyle w:val="Default"/>
        <w:ind w:left="567"/>
        <w:jc w:val="both"/>
        <w:rPr>
          <w:color w:val="auto"/>
        </w:rPr>
      </w:pPr>
      <w:r>
        <w:rPr>
          <w:color w:val="auto"/>
        </w:rPr>
      </w:r>
    </w:p>
    <w:p>
      <w:pPr>
        <w:pStyle w:val="Default"/>
        <w:ind w:left="567"/>
        <w:jc w:val="both"/>
        <w:rPr/>
      </w:pPr>
      <w:r>
        <w:rPr>
          <w:b/>
          <w:bCs/>
          <w:color w:val="auto"/>
        </w:rPr>
        <w:t xml:space="preserve">b) </w:t>
      </w:r>
      <w:r>
        <w:rPr>
          <w:color w:val="auto"/>
        </w:rPr>
        <w:t>o cadáver apresentar inequívocos sinais de putrefação.</w:t>
      </w:r>
    </w:p>
    <w:p>
      <w:pPr>
        <w:pStyle w:val="Default"/>
        <w:ind w:left="283"/>
        <w:jc w:val="both"/>
        <w:rPr>
          <w:b/>
          <w:bCs/>
          <w:color w:val="auto"/>
        </w:rPr>
      </w:pPr>
      <w:r>
        <w:rPr>
          <w:b/>
          <w:bCs/>
          <w:color w:val="auto"/>
        </w:rPr>
      </w:r>
    </w:p>
    <w:p>
      <w:pPr>
        <w:pStyle w:val="Default"/>
        <w:ind w:left="283"/>
        <w:jc w:val="both"/>
        <w:rPr/>
      </w:pPr>
      <w:r>
        <w:rPr>
          <w:b/>
          <w:bCs/>
          <w:color w:val="auto"/>
        </w:rPr>
        <w:t>15.3.7.</w:t>
      </w:r>
      <w:r>
        <w:rPr>
          <w:b/>
          <w:color w:val="auto"/>
        </w:rPr>
        <w:t xml:space="preserve"> </w:t>
      </w:r>
      <w:r>
        <w:rPr>
          <w:color w:val="auto"/>
        </w:rPr>
        <w:t>q</w:t>
      </w:r>
      <w:r>
        <w:rPr/>
        <w:t>ualquer prática por parte da(s) CONCESSIONÁRIA(s) ou de seus sócios que visem a frustração do caráter competitivo de licitação ou fraude na execução contratual com o intuito de obter para si ou para outrem vantagem decorrente da adjudicação do objeto da licitação. Tal situação poderá ser denunciada por qualquer pessoa e implicará na abertura de processo administrativo, garantida a ampla defesa e o contraditório, cuja conclusão pela procedência da denúncia implicará na pena de perda da concessão, sem direito a qualquer indenização;</w:t>
      </w:r>
    </w:p>
    <w:p>
      <w:pPr>
        <w:pStyle w:val="Default"/>
        <w:ind w:left="283"/>
        <w:jc w:val="both"/>
        <w:rPr>
          <w:b/>
          <w:bCs/>
        </w:rPr>
      </w:pPr>
      <w:r>
        <w:rPr>
          <w:b/>
          <w:bCs/>
        </w:rPr>
      </w:r>
    </w:p>
    <w:p>
      <w:pPr>
        <w:pStyle w:val="Default"/>
        <w:ind w:left="283"/>
        <w:jc w:val="both"/>
        <w:rPr/>
      </w:pPr>
      <w:r>
        <w:rPr>
          <w:b/>
          <w:bCs/>
          <w:color w:val="auto"/>
        </w:rPr>
        <w:t>15.3.8.</w:t>
      </w:r>
      <w:r>
        <w:rPr>
          <w:color w:val="auto"/>
        </w:rPr>
        <w:t xml:space="preserve"> </w:t>
      </w:r>
      <w:r>
        <w:rPr/>
        <w:t>realizar a cobrança de locação de espaços públicos e/ou comunitários, nos quais serão realizados velórios.</w:t>
      </w:r>
    </w:p>
    <w:p>
      <w:pPr>
        <w:pStyle w:val="Default"/>
        <w:ind w:left="283"/>
        <w:jc w:val="both"/>
        <w:rPr/>
      </w:pPr>
      <w:r>
        <w:rPr/>
      </w:r>
    </w:p>
    <w:p>
      <w:pPr>
        <w:pStyle w:val="Default"/>
        <w:rPr/>
      </w:pPr>
      <w:r>
        <w:rPr>
          <w:b/>
        </w:rPr>
        <w:t>16. DOS DIREITOS E OBRIGAÇÕES DO USUÁRIO</w:t>
      </w:r>
    </w:p>
    <w:p>
      <w:pPr>
        <w:pStyle w:val="Default"/>
        <w:rPr>
          <w:b/>
        </w:rPr>
      </w:pPr>
      <w:r>
        <w:rPr>
          <w:b/>
        </w:rPr>
      </w:r>
    </w:p>
    <w:p>
      <w:pPr>
        <w:pStyle w:val="Default"/>
        <w:jc w:val="both"/>
        <w:rPr/>
      </w:pPr>
      <w:r>
        <w:rPr>
          <w:b/>
          <w:color w:val="auto"/>
        </w:rPr>
        <w:t xml:space="preserve">16.1. </w:t>
      </w:r>
      <w:r>
        <w:rPr>
          <w:color w:val="auto"/>
        </w:rPr>
        <w:t>O usuário tem direito à livre preferência da funerária e sua escolha, de forma espontânea, sem constrangimento ou intimidação, não podendo ser abordado em nenhuma outra dependência pública ou privada, por qualquer pessoa ou prestador de serviço, com objetivo de direcionar a contratação do serviço.</w:t>
      </w:r>
    </w:p>
    <w:p>
      <w:pPr>
        <w:pStyle w:val="Default"/>
        <w:jc w:val="both"/>
        <w:rPr>
          <w:color w:val="auto"/>
        </w:rPr>
      </w:pPr>
      <w:r>
        <w:rPr>
          <w:color w:val="auto"/>
        </w:rPr>
      </w:r>
    </w:p>
    <w:p>
      <w:pPr>
        <w:pStyle w:val="Standard"/>
        <w:jc w:val="both"/>
        <w:rPr/>
      </w:pPr>
      <w:r>
        <w:rPr>
          <w:rFonts w:cs="Times New Roman" w:ascii="Times New Roman" w:hAnsi="Times New Roman"/>
          <w:b/>
        </w:rPr>
        <w:t xml:space="preserve">16.2. </w:t>
      </w:r>
      <w:r>
        <w:rPr>
          <w:rFonts w:cs="Times New Roman" w:ascii="Times New Roman" w:hAnsi="Times New Roman"/>
        </w:rPr>
        <w:t>O usuário tem direito à prestação adequada ao serviço funerário, abrangendo os direitos e obrigações abaixo:</w:t>
      </w:r>
    </w:p>
    <w:p>
      <w:pPr>
        <w:pStyle w:val="Standard"/>
        <w:jc w:val="both"/>
        <w:rPr>
          <w:rFonts w:ascii="Times New Roman" w:hAnsi="Times New Roman" w:cs="Times New Roman"/>
        </w:rPr>
      </w:pPr>
      <w:r>
        <w:rPr>
          <w:rFonts w:cs="Times New Roman" w:ascii="Times New Roman" w:hAnsi="Times New Roman"/>
        </w:rPr>
      </w:r>
    </w:p>
    <w:p>
      <w:pPr>
        <w:pStyle w:val="Default"/>
        <w:ind w:left="283"/>
        <w:jc w:val="both"/>
        <w:rPr/>
      </w:pPr>
      <w:r>
        <w:rPr>
          <w:b/>
          <w:bCs/>
        </w:rPr>
        <w:t>a)</w:t>
      </w:r>
      <w:r>
        <w:rPr/>
        <w:t xml:space="preserve"> ser tratado com urbanidade e respeito pelos empregados e representantes das empresas funerárias;</w:t>
      </w:r>
    </w:p>
    <w:p>
      <w:pPr>
        <w:pStyle w:val="Default"/>
        <w:ind w:left="283"/>
        <w:jc w:val="both"/>
        <w:rPr/>
      </w:pPr>
      <w:r>
        <w:rPr/>
      </w:r>
    </w:p>
    <w:p>
      <w:pPr>
        <w:pStyle w:val="Default"/>
        <w:ind w:left="283"/>
        <w:jc w:val="both"/>
        <w:rPr/>
      </w:pPr>
      <w:r>
        <w:rPr>
          <w:b/>
          <w:bCs/>
        </w:rPr>
        <w:t xml:space="preserve">b) </w:t>
      </w:r>
      <w:r>
        <w:rPr/>
        <w:t>livre vontade de escolha;</w:t>
      </w:r>
    </w:p>
    <w:p>
      <w:pPr>
        <w:pStyle w:val="Default"/>
        <w:ind w:left="283"/>
        <w:jc w:val="both"/>
        <w:rPr/>
      </w:pPr>
      <w:r>
        <w:rPr/>
      </w:r>
    </w:p>
    <w:p>
      <w:pPr>
        <w:pStyle w:val="Default"/>
        <w:ind w:left="283"/>
        <w:jc w:val="both"/>
        <w:rPr/>
      </w:pPr>
      <w:r>
        <w:rPr>
          <w:b/>
          <w:bCs/>
        </w:rPr>
        <w:t xml:space="preserve">c) </w:t>
      </w:r>
      <w:r>
        <w:rPr/>
        <w:t>sigilo dos dados e informações;</w:t>
      </w:r>
    </w:p>
    <w:p>
      <w:pPr>
        <w:pStyle w:val="Default"/>
        <w:ind w:left="283"/>
        <w:jc w:val="both"/>
        <w:rPr/>
      </w:pPr>
      <w:r>
        <w:rPr/>
      </w:r>
    </w:p>
    <w:p>
      <w:pPr>
        <w:pStyle w:val="Default"/>
        <w:ind w:left="283"/>
        <w:jc w:val="both"/>
        <w:rPr/>
      </w:pPr>
      <w:r>
        <w:rPr>
          <w:b/>
          <w:bCs/>
        </w:rPr>
        <w:t xml:space="preserve">d) </w:t>
      </w:r>
      <w:r>
        <w:rPr/>
        <w:t>igualdade de atendimento, vedado qualquer tipo de discriminação;</w:t>
      </w:r>
    </w:p>
    <w:p>
      <w:pPr>
        <w:pStyle w:val="Default"/>
        <w:ind w:left="283"/>
        <w:jc w:val="both"/>
        <w:rPr/>
      </w:pPr>
      <w:r>
        <w:rPr/>
      </w:r>
    </w:p>
    <w:p>
      <w:pPr>
        <w:pStyle w:val="Default"/>
        <w:ind w:left="283"/>
        <w:jc w:val="both"/>
        <w:rPr/>
      </w:pPr>
      <w:r>
        <w:rPr>
          <w:b/>
          <w:bCs/>
        </w:rPr>
        <w:t xml:space="preserve">e) </w:t>
      </w:r>
      <w:r>
        <w:rPr/>
        <w:t>transparência na prestação do serviço em relação ao contrato firmado;</w:t>
      </w:r>
    </w:p>
    <w:p>
      <w:pPr>
        <w:pStyle w:val="Default"/>
        <w:ind w:left="283"/>
        <w:jc w:val="both"/>
        <w:rPr/>
      </w:pPr>
      <w:r>
        <w:rPr/>
      </w:r>
    </w:p>
    <w:p>
      <w:pPr>
        <w:pStyle w:val="Default"/>
        <w:ind w:left="283"/>
        <w:jc w:val="both"/>
        <w:rPr/>
      </w:pPr>
      <w:r>
        <w:rPr>
          <w:b/>
          <w:bCs/>
        </w:rPr>
        <w:t xml:space="preserve">f) </w:t>
      </w:r>
      <w:r>
        <w:rPr/>
        <w:t>cumprimento de prazos e normas procedimentais;</w:t>
      </w:r>
    </w:p>
    <w:p>
      <w:pPr>
        <w:pStyle w:val="Default"/>
        <w:ind w:left="283"/>
        <w:jc w:val="both"/>
        <w:rPr/>
      </w:pPr>
      <w:r>
        <w:rPr/>
      </w:r>
    </w:p>
    <w:p>
      <w:pPr>
        <w:pStyle w:val="Default"/>
        <w:ind w:left="283"/>
        <w:jc w:val="both"/>
        <w:rPr/>
      </w:pPr>
      <w:r>
        <w:rPr>
          <w:b/>
          <w:bCs/>
        </w:rPr>
        <w:t>g)</w:t>
      </w:r>
      <w:r>
        <w:rPr/>
        <w:t xml:space="preserve"> propor medidas que visem a melhoria do Serviço Funerário do Município.</w:t>
      </w:r>
    </w:p>
    <w:p>
      <w:pPr>
        <w:pStyle w:val="Default"/>
        <w:jc w:val="both"/>
        <w:rPr/>
      </w:pPr>
      <w:r>
        <w:rPr/>
      </w:r>
    </w:p>
    <w:p>
      <w:pPr>
        <w:pStyle w:val="Default"/>
        <w:jc w:val="both"/>
        <w:rPr/>
      </w:pPr>
      <w:r>
        <w:rPr>
          <w:b/>
        </w:rPr>
        <w:t xml:space="preserve">16.3. </w:t>
      </w:r>
      <w:r>
        <w:rPr/>
        <w:t>É direito do usuário a obrigatoriedade da prestação de serviço de classe superior em caso de indisponibilidade de material do serviço escolhido pelo mesmo custo daquele optado inicialmente pelo usuário, sendo vedada a cobrança de qualquer valor adicional.</w:t>
      </w:r>
    </w:p>
    <w:p>
      <w:pPr>
        <w:pStyle w:val="Default"/>
        <w:jc w:val="both"/>
        <w:rPr>
          <w:b/>
        </w:rPr>
      </w:pPr>
      <w:r>
        <w:rPr>
          <w:b/>
        </w:rPr>
      </w:r>
    </w:p>
    <w:p>
      <w:pPr>
        <w:pStyle w:val="Default"/>
        <w:jc w:val="both"/>
        <w:rPr/>
      </w:pPr>
      <w:r>
        <w:rPr>
          <w:b/>
        </w:rPr>
        <w:t xml:space="preserve">16.4. </w:t>
      </w:r>
      <w:r>
        <w:rPr/>
        <w:t>Fica designado pelo Executivo Municipal a Ouvidoria Municipal por meio dos canais estabelecidos como órgão oficial para atendimento aos usuários a fim de receber denúncias, reclamações e sugestões.</w:t>
      </w:r>
    </w:p>
    <w:p>
      <w:pPr>
        <w:pStyle w:val="Default"/>
        <w:rPr/>
      </w:pPr>
      <w:r>
        <w:rPr/>
      </w:r>
    </w:p>
    <w:p>
      <w:pPr>
        <w:pStyle w:val="Default"/>
        <w:jc w:val="both"/>
        <w:rPr/>
      </w:pPr>
      <w:r>
        <w:rPr>
          <w:b/>
        </w:rPr>
        <w:t xml:space="preserve">17. </w:t>
      </w:r>
      <w:r>
        <w:rPr>
          <w:b/>
          <w:bCs/>
          <w:color w:val="auto"/>
          <w:lang w:bidi="ar-SA"/>
        </w:rPr>
        <w:t xml:space="preserve">DO </w:t>
      </w:r>
      <w:r>
        <w:rPr>
          <w:b/>
          <w:bCs/>
          <w:color w:val="auto"/>
          <w:lang w:eastAsia="en-US" w:bidi="ar-SA"/>
        </w:rPr>
        <w:t>CONTROLE E FISCALIZAÇÃO DA EXECUÇÃO</w:t>
      </w:r>
    </w:p>
    <w:p>
      <w:pPr>
        <w:pStyle w:val="Default"/>
        <w:jc w:val="both"/>
        <w:rPr>
          <w:b/>
          <w:bCs/>
          <w:color w:val="auto"/>
          <w:shd w:fill="FFFF00" w:val="clear"/>
          <w:lang w:eastAsia="en-US" w:bidi="ar-SA"/>
        </w:rPr>
      </w:pPr>
      <w:r>
        <w:rPr>
          <w:b/>
          <w:bCs/>
          <w:color w:val="000000"/>
          <w:shd w:fill="FFFF00" w:val="clear"/>
          <w:lang w:eastAsia="en-US" w:bidi="ar-SA"/>
        </w:rPr>
      </w:r>
    </w:p>
    <w:p>
      <w:pPr>
        <w:pStyle w:val="Nivel1"/>
        <w:numPr>
          <w:ilvl w:val="0"/>
          <w:numId w:val="46"/>
        </w:numPr>
        <w:spacing w:lineRule="auto" w:line="240" w:before="0" w:after="0"/>
        <w:ind w:hanging="0" w:left="0"/>
        <w:outlineLvl w:val="9"/>
        <w:rPr/>
      </w:pPr>
      <w:r>
        <w:rPr>
          <w:rFonts w:eastAsia="Times New Roman" w:cs="Times New Roman" w:ascii="Times New Roman" w:hAnsi="Times New Roman"/>
          <w:bCs/>
          <w:color w:val="auto"/>
          <w:sz w:val="24"/>
          <w:szCs w:val="24"/>
          <w:lang w:eastAsia="en-US" w:bidi="ar-SA"/>
        </w:rPr>
        <w:t>17</w:t>
      </w:r>
      <w:r>
        <w:rPr>
          <w:rFonts w:cs="Times New Roman" w:ascii="Times New Roman" w:hAnsi="Times New Roman"/>
          <w:bCs/>
          <w:sz w:val="24"/>
          <w:szCs w:val="24"/>
          <w:lang w:eastAsia="en-US"/>
        </w:rPr>
        <w:t>.1.</w:t>
      </w:r>
      <w:r>
        <w:rPr>
          <w:rFonts w:cs="Times New Roman" w:ascii="Times New Roman" w:hAnsi="Times New Roman"/>
          <w:sz w:val="24"/>
          <w:szCs w:val="24"/>
          <w:lang w:eastAsia="en-US"/>
        </w:rPr>
        <w:t xml:space="preserve"> </w:t>
      </w:r>
      <w:r>
        <w:rPr>
          <w:rFonts w:cs="Times New Roman" w:ascii="Times New Roman" w:hAnsi="Times New Roman"/>
          <w:b w:val="false"/>
          <w:color w:val="auto"/>
          <w:sz w:val="24"/>
          <w:szCs w:val="24"/>
          <w:lang w:eastAsia="en-US"/>
        </w:rPr>
        <w:t xml:space="preserve">O contrato deverá ser executado fielmente pelas partes, de acordo com as cláusulas avençadas e as normas da Lei n.º 14.133/21, e cada parte responderá pelas consequências de sua inexecução total ou parcial (Lei n.º 14.133/21, art. 115, </w:t>
      </w:r>
      <w:r>
        <w:rPr>
          <w:rFonts w:cs="Times New Roman" w:ascii="Times New Roman" w:hAnsi="Times New Roman"/>
          <w:b w:val="false"/>
          <w:i/>
          <w:iCs/>
          <w:color w:val="auto"/>
          <w:sz w:val="24"/>
          <w:szCs w:val="24"/>
          <w:lang w:eastAsia="en-US"/>
        </w:rPr>
        <w:t>caput</w:t>
      </w:r>
      <w:r>
        <w:rPr>
          <w:rFonts w:cs="Times New Roman" w:ascii="Times New Roman" w:hAnsi="Times New Roman"/>
          <w:b w:val="false"/>
          <w:color w:val="auto"/>
          <w:sz w:val="24"/>
          <w:szCs w:val="24"/>
          <w:lang w:eastAsia="en-US"/>
        </w:rPr>
        <w:t>).</w:t>
      </w:r>
    </w:p>
    <w:p>
      <w:pPr>
        <w:pStyle w:val="Standard"/>
        <w:numPr>
          <w:ilvl w:val="0"/>
          <w:numId w:val="47"/>
        </w:numPr>
        <w:jc w:val="both"/>
        <w:rPr>
          <w:rFonts w:ascii="Times New Roman" w:hAnsi="Times New Roman" w:cs="Times New Roman"/>
          <w:lang w:eastAsia="en-US"/>
        </w:rPr>
      </w:pPr>
      <w:r>
        <w:rPr>
          <w:rFonts w:cs="Times New Roman" w:ascii="Times New Roman" w:hAnsi="Times New Roman"/>
          <w:lang w:eastAsia="en-US"/>
        </w:rPr>
      </w:r>
    </w:p>
    <w:p>
      <w:pPr>
        <w:pStyle w:val="Standard"/>
        <w:numPr>
          <w:ilvl w:val="0"/>
          <w:numId w:val="48"/>
        </w:numPr>
        <w:jc w:val="both"/>
        <w:textAlignment w:val="top"/>
        <w:rPr/>
      </w:pPr>
      <w:r>
        <w:rPr>
          <w:rFonts w:cs="Times New Roman" w:ascii="Times New Roman" w:hAnsi="Times New Roman"/>
          <w:b/>
          <w:bCs/>
          <w:lang w:eastAsia="en-US"/>
        </w:rPr>
        <w:t>17.2.</w:t>
      </w:r>
      <w:r>
        <w:rPr>
          <w:rFonts w:cs="Times New Roman" w:ascii="Times New Roman" w:hAnsi="Times New Roman"/>
          <w:lang w:eastAsia="en-US"/>
        </w:rPr>
        <w:t xml:space="preserve"> A execução do contrato deverá ser acompanhada e fiscalizada pelo(s) fiscal(is) do contrato, ou pelos respectivos substitutos (Lei n.º 14.133/21, art. 117, </w:t>
      </w:r>
      <w:r>
        <w:rPr>
          <w:rFonts w:cs="Times New Roman" w:ascii="Times New Roman" w:hAnsi="Times New Roman"/>
          <w:i/>
          <w:iCs/>
          <w:lang w:eastAsia="en-US"/>
        </w:rPr>
        <w:t>caput</w:t>
      </w:r>
      <w:r>
        <w:rPr>
          <w:rFonts w:cs="Times New Roman" w:ascii="Times New Roman" w:hAnsi="Times New Roman"/>
          <w:lang w:eastAsia="en-US"/>
        </w:rPr>
        <w:t>).</w:t>
      </w:r>
    </w:p>
    <w:p>
      <w:pPr>
        <w:pStyle w:val="Standard"/>
        <w:numPr>
          <w:ilvl w:val="0"/>
          <w:numId w:val="49"/>
        </w:numPr>
        <w:ind w:left="283"/>
        <w:jc w:val="both"/>
        <w:textAlignment w:val="top"/>
        <w:rPr>
          <w:rFonts w:ascii="Times New Roman" w:hAnsi="Times New Roman" w:cs="Times New Roman"/>
          <w:b/>
          <w:bCs/>
          <w:lang w:eastAsia="en-US"/>
        </w:rPr>
      </w:pPr>
      <w:r>
        <w:rPr>
          <w:rFonts w:cs="Times New Roman" w:ascii="Times New Roman" w:hAnsi="Times New Roman"/>
          <w:b/>
          <w:bCs/>
          <w:lang w:eastAsia="en-US"/>
        </w:rPr>
      </w:r>
    </w:p>
    <w:p>
      <w:pPr>
        <w:pStyle w:val="Standard"/>
        <w:numPr>
          <w:ilvl w:val="0"/>
          <w:numId w:val="50"/>
        </w:numPr>
        <w:ind w:left="283"/>
        <w:jc w:val="both"/>
        <w:textAlignment w:val="top"/>
        <w:rPr/>
      </w:pPr>
      <w:r>
        <w:rPr>
          <w:rFonts w:cs="Times New Roman" w:ascii="Times New Roman" w:hAnsi="Times New Roman"/>
          <w:b/>
          <w:bCs/>
          <w:lang w:eastAsia="en-US"/>
        </w:rPr>
        <w:t>17.2.1.</w:t>
      </w:r>
      <w:r>
        <w:rPr>
          <w:rFonts w:cs="Times New Roman" w:ascii="Times New Roman" w:hAnsi="Times New Roman"/>
          <w:lang w:eastAsia="en-US"/>
        </w:rPr>
        <w:t xml:space="preserve"> O fiscal do contrato anotará em registro próprio todas as ocorrências relacionadas à execução do contrato, determinando o que for necessário para a regularização das faltas ou dos defeitos observados (Lei n.º 14.133/21, art. 117, § 1.º).</w:t>
      </w:r>
    </w:p>
    <w:p>
      <w:pPr>
        <w:pStyle w:val="Standard"/>
        <w:numPr>
          <w:ilvl w:val="0"/>
          <w:numId w:val="51"/>
        </w:numPr>
        <w:ind w:left="283"/>
        <w:jc w:val="both"/>
        <w:rPr>
          <w:rFonts w:ascii="Times New Roman" w:hAnsi="Times New Roman" w:cs="Times New Roman"/>
          <w:lang w:eastAsia="en-US"/>
        </w:rPr>
      </w:pPr>
      <w:r>
        <w:rPr>
          <w:rFonts w:cs="Times New Roman" w:ascii="Times New Roman" w:hAnsi="Times New Roman"/>
          <w:lang w:eastAsia="en-US"/>
        </w:rPr>
      </w:r>
    </w:p>
    <w:p>
      <w:pPr>
        <w:pStyle w:val="Standard"/>
        <w:numPr>
          <w:ilvl w:val="0"/>
          <w:numId w:val="52"/>
        </w:numPr>
        <w:ind w:left="283"/>
        <w:jc w:val="both"/>
        <w:textAlignment w:val="top"/>
        <w:rPr/>
      </w:pPr>
      <w:r>
        <w:rPr>
          <w:rFonts w:cs="Times New Roman" w:ascii="Times New Roman" w:hAnsi="Times New Roman"/>
          <w:b/>
          <w:bCs/>
          <w:lang w:eastAsia="en-US"/>
        </w:rPr>
        <w:t>17.2.2.</w:t>
      </w:r>
      <w:r>
        <w:rPr>
          <w:rFonts w:cs="Times New Roman" w:ascii="Times New Roman" w:hAnsi="Times New Roman"/>
          <w:lang w:eastAsia="en-US"/>
        </w:rPr>
        <w:t xml:space="preserve"> O fiscal do contrato informará a seus superiores, em tempo hábil para a adoção das medidas convenientes, a situação que demandar decisão ou providência que ultrapasse sua competência (Lei n.º 14.133/21, art. 117, § 2.º).</w:t>
      </w:r>
    </w:p>
    <w:p>
      <w:pPr>
        <w:pStyle w:val="Standard"/>
        <w:numPr>
          <w:ilvl w:val="0"/>
          <w:numId w:val="53"/>
        </w:numPr>
        <w:jc w:val="both"/>
        <w:textAlignment w:val="top"/>
        <w:rPr>
          <w:rFonts w:ascii="Times New Roman" w:hAnsi="Times New Roman" w:cs="Times New Roman"/>
          <w:lang w:eastAsia="en-US"/>
        </w:rPr>
      </w:pPr>
      <w:r>
        <w:rPr>
          <w:rFonts w:cs="Times New Roman" w:ascii="Times New Roman" w:hAnsi="Times New Roman"/>
          <w:lang w:eastAsia="en-US"/>
        </w:rPr>
      </w:r>
    </w:p>
    <w:p>
      <w:pPr>
        <w:pStyle w:val="Standard"/>
        <w:numPr>
          <w:ilvl w:val="0"/>
          <w:numId w:val="54"/>
        </w:numPr>
        <w:jc w:val="both"/>
        <w:textAlignment w:val="top"/>
        <w:rPr/>
      </w:pPr>
      <w:r>
        <w:rPr>
          <w:rFonts w:cs="Times New Roman" w:ascii="Times New Roman" w:hAnsi="Times New Roman"/>
          <w:b/>
          <w:bCs/>
          <w:lang w:eastAsia="en-US"/>
        </w:rPr>
        <w:t>17.3.</w:t>
      </w:r>
      <w:r>
        <w:rPr>
          <w:rFonts w:cs="Times New Roman" w:ascii="Times New Roman" w:hAnsi="Times New Roman"/>
          <w:lang w:eastAsia="en-US"/>
        </w:rPr>
        <w:t xml:space="preserve"> A</w:t>
      </w:r>
      <w:r>
        <w:rPr>
          <w:rFonts w:eastAsia="Times New Roman" w:cs="Times New Roman" w:ascii="Times New Roman" w:hAnsi="Times New Roman"/>
          <w:lang w:bidi="ar-SA"/>
        </w:rPr>
        <w:t>(s)</w:t>
      </w:r>
      <w:r>
        <w:rPr>
          <w:rFonts w:cs="Times New Roman" w:ascii="Times New Roman" w:hAnsi="Times New Roman"/>
          <w:lang w:eastAsia="en-US"/>
        </w:rPr>
        <w:t xml:space="preserve"> CONCESSIONÁRIA</w:t>
      </w:r>
      <w:r>
        <w:rPr>
          <w:rFonts w:eastAsia="Times New Roman" w:cs="Times New Roman" w:ascii="Times New Roman" w:hAnsi="Times New Roman"/>
          <w:lang w:bidi="ar-SA"/>
        </w:rPr>
        <w:t>(s)</w:t>
      </w:r>
      <w:r>
        <w:rPr>
          <w:rFonts w:cs="Times New Roman" w:ascii="Times New Roman" w:hAnsi="Times New Roman"/>
          <w:lang w:eastAsia="en-US"/>
        </w:rPr>
        <w:t xml:space="preserve"> será(ão) obrigada</w:t>
      </w:r>
      <w:r>
        <w:rPr>
          <w:rFonts w:eastAsia="Times New Roman" w:cs="Times New Roman" w:ascii="Times New Roman" w:hAnsi="Times New Roman"/>
          <w:lang w:bidi="ar-SA"/>
        </w:rPr>
        <w:t>(s)</w:t>
      </w:r>
      <w:r>
        <w:rPr>
          <w:rFonts w:cs="Times New Roman" w:ascii="Times New Roman" w:hAnsi="Times New Roman"/>
          <w:lang w:eastAsia="en-US"/>
        </w:rPr>
        <w:t xml:space="preserve"> a reparar, corrigir, remover, reconstruir ou substituir, a suas expensas, no total ou em parte, o objeto do contrato em que se verificarem vícios, defeitos ou incorreções resultantes de sua execução ou de materiais nela empregados (Lei n.º 14.133/21, art. 119).</w:t>
      </w:r>
    </w:p>
    <w:p>
      <w:pPr>
        <w:pStyle w:val="Standard"/>
        <w:jc w:val="both"/>
        <w:textAlignment w:val="top"/>
        <w:rPr>
          <w:rFonts w:ascii="Times New Roman" w:hAnsi="Times New Roman" w:cs="Times New Roman"/>
          <w:b/>
          <w:bCs/>
          <w:lang w:eastAsia="en-US"/>
        </w:rPr>
      </w:pPr>
      <w:r>
        <w:rPr>
          <w:rFonts w:cs="Times New Roman" w:ascii="Times New Roman" w:hAnsi="Times New Roman"/>
          <w:b/>
          <w:bCs/>
          <w:lang w:eastAsia="en-US"/>
        </w:rPr>
      </w:r>
    </w:p>
    <w:p>
      <w:pPr>
        <w:pStyle w:val="Standard"/>
        <w:numPr>
          <w:ilvl w:val="0"/>
          <w:numId w:val="55"/>
        </w:numPr>
        <w:jc w:val="both"/>
        <w:textAlignment w:val="top"/>
        <w:rPr/>
      </w:pPr>
      <w:r>
        <w:rPr>
          <w:rFonts w:cs="Times New Roman" w:ascii="Times New Roman" w:hAnsi="Times New Roman"/>
          <w:b/>
          <w:bCs/>
          <w:lang w:eastAsia="en-US"/>
        </w:rPr>
        <w:t>17.4.</w:t>
      </w:r>
      <w:r>
        <w:rPr>
          <w:rFonts w:cs="Times New Roman" w:ascii="Times New Roman" w:hAnsi="Times New Roman"/>
          <w:lang w:eastAsia="en-US"/>
        </w:rPr>
        <w:t xml:space="preserve"> A</w:t>
      </w:r>
      <w:r>
        <w:rPr>
          <w:rFonts w:eastAsia="Times New Roman" w:cs="Times New Roman" w:ascii="Times New Roman" w:hAnsi="Times New Roman"/>
          <w:lang w:bidi="ar-SA"/>
        </w:rPr>
        <w:t>(s)</w:t>
      </w:r>
      <w:r>
        <w:rPr>
          <w:rFonts w:cs="Times New Roman" w:ascii="Times New Roman" w:hAnsi="Times New Roman"/>
          <w:lang w:eastAsia="en-US"/>
        </w:rPr>
        <w:t xml:space="preserve"> CONCESSIONÁRIA</w:t>
      </w:r>
      <w:r>
        <w:rPr>
          <w:rFonts w:eastAsia="Times New Roman" w:cs="Times New Roman" w:ascii="Times New Roman" w:hAnsi="Times New Roman"/>
          <w:lang w:bidi="ar-SA"/>
        </w:rPr>
        <w:t>(s)</w:t>
      </w:r>
      <w:r>
        <w:rPr>
          <w:rFonts w:cs="Times New Roman" w:ascii="Times New Roman" w:hAnsi="Times New Roman"/>
          <w:lang w:eastAsia="en-US"/>
        </w:rPr>
        <w:t xml:space="preserve"> será(ão) responsável(is) pelos danos causados diretamente à Administração ou a terceiros em razão da execução do contrato, e não excluirá nem reduzirá essa responsabilidade a fiscalização ou o acompanhamento pelo CONCEDENTE (Lei n.º 14.133/21, art. 120).</w:t>
      </w:r>
    </w:p>
    <w:p>
      <w:pPr>
        <w:pStyle w:val="Standard"/>
        <w:numPr>
          <w:ilvl w:val="0"/>
          <w:numId w:val="56"/>
        </w:numPr>
        <w:jc w:val="both"/>
        <w:textAlignment w:val="top"/>
        <w:rPr>
          <w:rFonts w:ascii="Times New Roman" w:hAnsi="Times New Roman" w:cs="Times New Roman"/>
          <w:lang w:eastAsia="en-US"/>
        </w:rPr>
      </w:pPr>
      <w:r>
        <w:rPr>
          <w:rFonts w:cs="Times New Roman" w:ascii="Times New Roman" w:hAnsi="Times New Roman"/>
          <w:lang w:eastAsia="en-US"/>
        </w:rPr>
      </w:r>
    </w:p>
    <w:p>
      <w:pPr>
        <w:pStyle w:val="Standard"/>
        <w:numPr>
          <w:ilvl w:val="0"/>
          <w:numId w:val="57"/>
        </w:numPr>
        <w:jc w:val="both"/>
        <w:textAlignment w:val="top"/>
        <w:rPr/>
      </w:pPr>
      <w:r>
        <w:rPr>
          <w:rFonts w:cs="Times New Roman" w:ascii="Times New Roman" w:hAnsi="Times New Roman"/>
          <w:b/>
          <w:bCs/>
          <w:lang w:eastAsia="en-US"/>
        </w:rPr>
        <w:t>17.5.</w:t>
      </w:r>
      <w:r>
        <w:rPr>
          <w:rFonts w:cs="Times New Roman" w:ascii="Times New Roman" w:hAnsi="Times New Roman"/>
          <w:lang w:eastAsia="en-US"/>
        </w:rPr>
        <w:t xml:space="preserve"> Somente a</w:t>
      </w:r>
      <w:r>
        <w:rPr>
          <w:rFonts w:eastAsia="Times New Roman" w:cs="Times New Roman" w:ascii="Times New Roman" w:hAnsi="Times New Roman"/>
          <w:lang w:bidi="ar-SA"/>
        </w:rPr>
        <w:t>(s)</w:t>
      </w:r>
      <w:r>
        <w:rPr>
          <w:rFonts w:cs="Times New Roman" w:ascii="Times New Roman" w:hAnsi="Times New Roman"/>
          <w:lang w:eastAsia="en-US"/>
        </w:rPr>
        <w:t xml:space="preserve"> CONCESSIONÁRIA</w:t>
      </w:r>
      <w:r>
        <w:rPr>
          <w:rFonts w:eastAsia="Times New Roman" w:cs="Times New Roman" w:ascii="Times New Roman" w:hAnsi="Times New Roman"/>
          <w:lang w:bidi="ar-SA"/>
        </w:rPr>
        <w:t>(s)</w:t>
      </w:r>
      <w:r>
        <w:rPr>
          <w:rFonts w:cs="Times New Roman" w:ascii="Times New Roman" w:hAnsi="Times New Roman"/>
          <w:lang w:eastAsia="en-US"/>
        </w:rPr>
        <w:t xml:space="preserve"> será(ão) responsável(is) pelos encargos trabalhistas, previdenciários, fiscais e comerciais resultantes da execução do contrato (Lei n.º 14.133/21, art. 121, </w:t>
      </w:r>
      <w:r>
        <w:rPr>
          <w:rFonts w:cs="Times New Roman" w:ascii="Times New Roman" w:hAnsi="Times New Roman"/>
          <w:i/>
          <w:iCs/>
          <w:lang w:eastAsia="en-US"/>
        </w:rPr>
        <w:t>caput</w:t>
      </w:r>
      <w:r>
        <w:rPr>
          <w:rFonts w:cs="Times New Roman" w:ascii="Times New Roman" w:hAnsi="Times New Roman"/>
          <w:lang w:eastAsia="en-US"/>
        </w:rPr>
        <w:t>).</w:t>
      </w:r>
    </w:p>
    <w:p>
      <w:pPr>
        <w:pStyle w:val="Standard"/>
        <w:ind w:left="283"/>
        <w:jc w:val="both"/>
        <w:rPr>
          <w:rFonts w:ascii="Times New Roman" w:hAnsi="Times New Roman" w:cs="Times New Roman"/>
          <w:lang w:eastAsia="en-US"/>
        </w:rPr>
      </w:pPr>
      <w:r>
        <w:rPr>
          <w:rFonts w:cs="Times New Roman" w:ascii="Times New Roman" w:hAnsi="Times New Roman"/>
          <w:lang w:eastAsia="en-US"/>
        </w:rPr>
      </w:r>
    </w:p>
    <w:p>
      <w:pPr>
        <w:pStyle w:val="Standard"/>
        <w:numPr>
          <w:ilvl w:val="0"/>
          <w:numId w:val="58"/>
        </w:numPr>
        <w:ind w:left="283"/>
        <w:jc w:val="both"/>
        <w:textAlignment w:val="top"/>
        <w:rPr/>
      </w:pPr>
      <w:r>
        <w:rPr>
          <w:rFonts w:cs="Times New Roman" w:ascii="Times New Roman" w:hAnsi="Times New Roman"/>
          <w:b/>
          <w:bCs/>
          <w:lang w:eastAsia="en-US"/>
        </w:rPr>
        <w:t>17.5.1.</w:t>
      </w:r>
      <w:r>
        <w:rPr>
          <w:rFonts w:cs="Times New Roman" w:ascii="Times New Roman" w:hAnsi="Times New Roman"/>
          <w:lang w:eastAsia="en-US"/>
        </w:rPr>
        <w:t xml:space="preserve"> </w:t>
      </w:r>
      <w:bookmarkStart w:id="3" w:name="art121§1"/>
      <w:bookmarkEnd w:id="3"/>
      <w:r>
        <w:rPr>
          <w:rFonts w:cs="Times New Roman" w:ascii="Times New Roman" w:hAnsi="Times New Roman"/>
          <w:lang w:eastAsia="en-US"/>
        </w:rPr>
        <w:t>A inadimplência da</w:t>
      </w:r>
      <w:r>
        <w:rPr>
          <w:rFonts w:eastAsia="Times New Roman" w:cs="Times New Roman" w:ascii="Times New Roman" w:hAnsi="Times New Roman"/>
          <w:lang w:bidi="ar-SA"/>
        </w:rPr>
        <w:t>(s)</w:t>
      </w:r>
      <w:r>
        <w:rPr>
          <w:rFonts w:cs="Times New Roman" w:ascii="Times New Roman" w:hAnsi="Times New Roman"/>
          <w:lang w:eastAsia="en-US"/>
        </w:rPr>
        <w:t xml:space="preserve"> CONCESSIONÁRIA</w:t>
      </w:r>
      <w:r>
        <w:rPr>
          <w:rFonts w:eastAsia="Times New Roman" w:cs="Times New Roman" w:ascii="Times New Roman" w:hAnsi="Times New Roman"/>
          <w:lang w:bidi="ar-SA"/>
        </w:rPr>
        <w:t>(s)</w:t>
      </w:r>
      <w:r>
        <w:rPr>
          <w:rFonts w:cs="Times New Roman" w:ascii="Times New Roman" w:hAnsi="Times New Roman"/>
          <w:lang w:eastAsia="en-US"/>
        </w:rPr>
        <w:t xml:space="preserve"> em relação aos encargos trabalhistas, fiscais e comerciais não transferirá à Administração a responsabilidade pelo seu pagamento e não poderá onerar o objeto do contrato (Lei n.º 14.133/21, art. 121, § 1.º).</w:t>
      </w:r>
    </w:p>
    <w:p>
      <w:pPr>
        <w:pStyle w:val="Standard"/>
        <w:ind w:left="283"/>
        <w:jc w:val="both"/>
        <w:rPr>
          <w:rFonts w:ascii="Times New Roman" w:hAnsi="Times New Roman" w:cs="Times New Roman"/>
          <w:b/>
          <w:bCs/>
          <w:lang w:eastAsia="en-US"/>
        </w:rPr>
      </w:pPr>
      <w:r>
        <w:rPr>
          <w:rFonts w:cs="Times New Roman" w:ascii="Times New Roman" w:hAnsi="Times New Roman"/>
          <w:b/>
          <w:bCs/>
          <w:lang w:eastAsia="en-US"/>
        </w:rPr>
      </w:r>
    </w:p>
    <w:p>
      <w:pPr>
        <w:pStyle w:val="Standard"/>
        <w:numPr>
          <w:ilvl w:val="0"/>
          <w:numId w:val="59"/>
        </w:numPr>
        <w:jc w:val="both"/>
        <w:textAlignment w:val="top"/>
        <w:rPr/>
      </w:pPr>
      <w:r>
        <w:rPr>
          <w:rFonts w:cs="Times New Roman" w:ascii="Times New Roman" w:hAnsi="Times New Roman"/>
          <w:b/>
          <w:bCs/>
          <w:lang w:eastAsia="en-US"/>
        </w:rPr>
        <w:t>17.6.</w:t>
      </w:r>
      <w:r>
        <w:rPr>
          <w:rFonts w:cs="Times New Roman" w:ascii="Times New Roman" w:hAnsi="Times New Roman"/>
          <w:lang w:eastAsia="en-US"/>
        </w:rPr>
        <w:t xml:space="preserve"> As comunicações entre o órgão ou entidade e a</w:t>
      </w:r>
      <w:r>
        <w:rPr>
          <w:rFonts w:eastAsia="Times New Roman" w:cs="Times New Roman" w:ascii="Times New Roman" w:hAnsi="Times New Roman"/>
          <w:lang w:bidi="ar-SA"/>
        </w:rPr>
        <w:t>(s)</w:t>
      </w:r>
      <w:r>
        <w:rPr>
          <w:rFonts w:cs="Times New Roman" w:ascii="Times New Roman" w:hAnsi="Times New Roman"/>
          <w:lang w:eastAsia="en-US"/>
        </w:rPr>
        <w:t xml:space="preserve"> CONCESSIONÁRIA</w:t>
      </w:r>
      <w:r>
        <w:rPr>
          <w:rFonts w:eastAsia="Times New Roman" w:cs="Times New Roman" w:ascii="Times New Roman" w:hAnsi="Times New Roman"/>
          <w:lang w:bidi="ar-SA"/>
        </w:rPr>
        <w:t>(s)</w:t>
      </w:r>
      <w:r>
        <w:rPr>
          <w:rFonts w:cs="Times New Roman" w:ascii="Times New Roman" w:hAnsi="Times New Roman"/>
          <w:lang w:eastAsia="en-US"/>
        </w:rPr>
        <w:t xml:space="preserve"> devem ser realizadas por escrito sempre que o ato exigir tal formalidade, admitindo-se, excepcionalmente, o uso de mensagem eletrônica para esse fim (IN 5/2017, art. 44, § 2.º).</w:t>
      </w:r>
    </w:p>
    <w:p>
      <w:pPr>
        <w:pStyle w:val="Standard"/>
        <w:numPr>
          <w:ilvl w:val="0"/>
          <w:numId w:val="60"/>
        </w:numPr>
        <w:jc w:val="both"/>
        <w:rPr>
          <w:rFonts w:ascii="Times New Roman" w:hAnsi="Times New Roman" w:cs="Times New Roman"/>
          <w:b/>
          <w:bCs/>
          <w:lang w:eastAsia="en-US"/>
        </w:rPr>
      </w:pPr>
      <w:r>
        <w:rPr>
          <w:rFonts w:cs="Times New Roman" w:ascii="Times New Roman" w:hAnsi="Times New Roman"/>
          <w:b/>
          <w:bCs/>
          <w:lang w:eastAsia="en-US"/>
        </w:rPr>
      </w:r>
    </w:p>
    <w:p>
      <w:pPr>
        <w:pStyle w:val="Standard"/>
        <w:numPr>
          <w:ilvl w:val="0"/>
          <w:numId w:val="61"/>
        </w:numPr>
        <w:jc w:val="both"/>
        <w:textAlignment w:val="top"/>
        <w:rPr/>
      </w:pPr>
      <w:r>
        <w:rPr>
          <w:rFonts w:cs="Times New Roman" w:ascii="Times New Roman" w:hAnsi="Times New Roman"/>
          <w:b/>
          <w:bCs/>
          <w:lang w:eastAsia="en-US"/>
        </w:rPr>
        <w:t xml:space="preserve">17.7. </w:t>
      </w:r>
      <w:r>
        <w:rPr>
          <w:rFonts w:cs="Times New Roman" w:ascii="Times New Roman" w:hAnsi="Times New Roman"/>
          <w:lang w:eastAsia="en-US"/>
        </w:rPr>
        <w:t>O CONCEDENTE poderá convocar representante da</w:t>
      </w:r>
      <w:r>
        <w:rPr>
          <w:rFonts w:eastAsia="Times New Roman" w:cs="Times New Roman" w:ascii="Times New Roman" w:hAnsi="Times New Roman"/>
          <w:lang w:bidi="ar-SA"/>
        </w:rPr>
        <w:t>(s)</w:t>
      </w:r>
      <w:r>
        <w:rPr>
          <w:rFonts w:cs="Times New Roman" w:ascii="Times New Roman" w:hAnsi="Times New Roman"/>
          <w:lang w:eastAsia="en-US"/>
        </w:rPr>
        <w:t xml:space="preserve"> CONCESSIONÁRIA</w:t>
      </w:r>
      <w:r>
        <w:rPr>
          <w:rFonts w:eastAsia="Times New Roman" w:cs="Times New Roman" w:ascii="Times New Roman" w:hAnsi="Times New Roman"/>
          <w:lang w:bidi="ar-SA"/>
        </w:rPr>
        <w:t>(s)</w:t>
      </w:r>
      <w:r>
        <w:rPr>
          <w:rFonts w:cs="Times New Roman" w:ascii="Times New Roman" w:hAnsi="Times New Roman"/>
          <w:lang w:eastAsia="en-US"/>
        </w:rPr>
        <w:t xml:space="preserve"> para adoção de providências que devam ser cumpridas de imediato (</w:t>
      </w:r>
      <w:r>
        <w:rPr>
          <w:rFonts w:cs="Times New Roman" w:ascii="Times New Roman" w:hAnsi="Times New Roman"/>
          <w:kern w:val="0"/>
        </w:rPr>
        <w:t>Decreto Municipal n.º 24.134, de 19 de março de 2026</w:t>
      </w:r>
      <w:r>
        <w:rPr>
          <w:rFonts w:cs="Times New Roman" w:ascii="Times New Roman" w:hAnsi="Times New Roman"/>
          <w:lang w:eastAsia="en-US"/>
        </w:rPr>
        <w:t>).</w:t>
      </w:r>
    </w:p>
    <w:p>
      <w:pPr>
        <w:pStyle w:val="Standard"/>
        <w:numPr>
          <w:ilvl w:val="0"/>
          <w:numId w:val="62"/>
        </w:numPr>
        <w:jc w:val="both"/>
        <w:textAlignment w:val="top"/>
        <w:rPr>
          <w:rFonts w:ascii="Times New Roman" w:hAnsi="Times New Roman" w:cs="Times New Roman"/>
          <w:b/>
          <w:bCs/>
          <w:lang w:eastAsia="en-US"/>
        </w:rPr>
      </w:pPr>
      <w:r>
        <w:rPr>
          <w:rFonts w:cs="Times New Roman" w:ascii="Times New Roman" w:hAnsi="Times New Roman"/>
          <w:b/>
          <w:bCs/>
          <w:lang w:eastAsia="en-US"/>
        </w:rPr>
      </w:r>
    </w:p>
    <w:p>
      <w:pPr>
        <w:pStyle w:val="Standard"/>
        <w:numPr>
          <w:ilvl w:val="0"/>
          <w:numId w:val="63"/>
        </w:numPr>
        <w:jc w:val="both"/>
        <w:textAlignment w:val="top"/>
        <w:rPr/>
      </w:pPr>
      <w:r>
        <w:rPr>
          <w:rFonts w:cs="Times New Roman" w:ascii="Times New Roman" w:hAnsi="Times New Roman"/>
          <w:b/>
          <w:bCs/>
          <w:lang w:eastAsia="en-US"/>
        </w:rPr>
        <w:t xml:space="preserve">17.8. </w:t>
      </w:r>
      <w:r>
        <w:rPr>
          <w:rFonts w:cs="Times New Roman" w:ascii="Times New Roman" w:hAnsi="Times New Roman"/>
          <w:lang w:eastAsia="en-US"/>
        </w:rPr>
        <w:t>Após a assinatura do contrato ou instrumento equivalente, o órgão ou entidade convocará o(s) representante(s) da(s) CONCESSIONÁRIA(s) para reunião inicial para apresentação do plano de fiscalização, que conterá informações acerca das obrigações contratuais, dos mecanismos de fiscalização, das estratégias para execução do objeto, do plano complementar de execução do fornecedor, quando houver, do método de aferição dos resultados e das sanções aplicáveis, dentre outros (</w:t>
      </w:r>
      <w:r>
        <w:rPr>
          <w:rFonts w:cs="Times New Roman" w:ascii="Times New Roman" w:hAnsi="Times New Roman"/>
          <w:kern w:val="0"/>
        </w:rPr>
        <w:t>Decreto Municipal n.º 24.134, de 19 de março de 2026</w:t>
      </w:r>
      <w:r>
        <w:rPr>
          <w:rFonts w:cs="Times New Roman" w:ascii="Times New Roman" w:hAnsi="Times New Roman"/>
          <w:lang w:eastAsia="en-US"/>
        </w:rPr>
        <w:t>).</w:t>
      </w:r>
    </w:p>
    <w:p>
      <w:pPr>
        <w:pStyle w:val="Standard"/>
        <w:numPr>
          <w:ilvl w:val="0"/>
          <w:numId w:val="64"/>
        </w:numPr>
        <w:jc w:val="both"/>
        <w:textAlignment w:val="top"/>
        <w:rPr>
          <w:rFonts w:ascii="Times New Roman" w:hAnsi="Times New Roman" w:eastAsia="Times New Roman" w:cs="Times New Roman"/>
          <w:b/>
          <w:bCs/>
          <w:shd w:fill="FFFF00" w:val="clear"/>
          <w:lang w:eastAsia="en-US" w:bidi="ar-SA"/>
        </w:rPr>
      </w:pPr>
      <w:r>
        <w:rPr>
          <w:rFonts w:eastAsia="Times New Roman" w:cs="Times New Roman" w:ascii="Times New Roman" w:hAnsi="Times New Roman"/>
          <w:b/>
          <w:bCs/>
          <w:shd w:fill="FFFF00" w:val="clear"/>
          <w:lang w:eastAsia="en-US" w:bidi="ar-SA"/>
        </w:rPr>
      </w:r>
    </w:p>
    <w:p>
      <w:pPr>
        <w:pStyle w:val="Standard"/>
        <w:numPr>
          <w:ilvl w:val="0"/>
          <w:numId w:val="65"/>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cs="Times New Roman" w:ascii="Times New Roman" w:hAnsi="Times New Roman"/>
          <w:b/>
          <w:bCs/>
          <w:lang w:eastAsia="en-US"/>
        </w:rPr>
        <w:t>17.9.</w:t>
      </w:r>
      <w:r>
        <w:rPr>
          <w:rFonts w:cs="Times New Roman" w:ascii="Times New Roman" w:hAnsi="Times New Roman"/>
          <w:lang w:eastAsia="en-US"/>
        </w:rPr>
        <w:t xml:space="preserve"> Além do disposto acima, a fiscalização contratual obedecerá às seguintes rotinas:</w:t>
      </w:r>
    </w:p>
    <w:p>
      <w:pPr>
        <w:pStyle w:val="Default"/>
        <w:jc w:val="both"/>
        <w:rPr>
          <w:b/>
        </w:rPr>
      </w:pPr>
      <w:r>
        <w:rPr>
          <w:b/>
        </w:rPr>
      </w:r>
    </w:p>
    <w:p>
      <w:pPr>
        <w:pStyle w:val="Default"/>
        <w:ind w:left="283"/>
        <w:jc w:val="both"/>
        <w:rPr/>
      </w:pPr>
      <w:r>
        <w:rPr>
          <w:b/>
          <w:bCs/>
          <w:color w:val="auto"/>
          <w:lang w:eastAsia="en-US"/>
        </w:rPr>
        <w:t>17.9.1.</w:t>
      </w:r>
      <w:r>
        <w:rPr>
          <w:b/>
        </w:rPr>
        <w:t xml:space="preserve"> </w:t>
      </w:r>
      <w:r>
        <w:rPr/>
        <w:t xml:space="preserve">O CONCEDENTE exercerá, por meio da Secretaria Municipal do Meio Ambiente e Sustentabilidade, ou outra que a suceder, rigoroso controle e fiscalização </w:t>
      </w:r>
      <w:r>
        <w:rPr>
          <w:color w:val="auto"/>
          <w:lang w:eastAsia="en-US"/>
        </w:rPr>
        <w:t>da(s) CONCESSIONÁRIA(s)</w:t>
      </w:r>
      <w:r>
        <w:rPr/>
        <w:t xml:space="preserve"> e agentes funerários quanto aos princípios éticos e morais nas relações com o público e no atendimento aos serviços funerários, de forma a:</w:t>
      </w:r>
    </w:p>
    <w:p>
      <w:pPr>
        <w:pStyle w:val="Default"/>
        <w:jc w:val="both"/>
        <w:rPr/>
      </w:pPr>
      <w:r>
        <w:rPr/>
      </w:r>
    </w:p>
    <w:p>
      <w:pPr>
        <w:pStyle w:val="Default"/>
        <w:ind w:left="567"/>
        <w:jc w:val="both"/>
        <w:rPr/>
      </w:pPr>
      <w:r>
        <w:rPr>
          <w:b/>
          <w:bCs/>
        </w:rPr>
        <w:t xml:space="preserve">a) </w:t>
      </w:r>
      <w:r>
        <w:rPr/>
        <w:t xml:space="preserve">assegurar à comunidade um serviço funerário de fácil acesso, uniformemente prestado, dentro dos padrões e valores estabelecidos no </w:t>
      </w:r>
      <w:r>
        <w:rPr>
          <w:kern w:val="0"/>
        </w:rPr>
        <w:t>Decreto Municipal n.º 24.134, de 19 de março de 2026</w:t>
      </w:r>
      <w:r>
        <w:rPr/>
        <w:t>, e imune à concorrência e agenciamento;</w:t>
      </w:r>
    </w:p>
    <w:p>
      <w:pPr>
        <w:pStyle w:val="Default"/>
        <w:ind w:left="567"/>
        <w:jc w:val="both"/>
        <w:rPr/>
      </w:pPr>
      <w:r>
        <w:rPr/>
      </w:r>
    </w:p>
    <w:p>
      <w:pPr>
        <w:pStyle w:val="Standard"/>
        <w:ind w:left="567"/>
        <w:jc w:val="both"/>
        <w:rPr/>
      </w:pPr>
      <w:r>
        <w:rPr>
          <w:rFonts w:cs="Times New Roman" w:ascii="Times New Roman" w:hAnsi="Times New Roman"/>
          <w:b/>
          <w:bCs/>
        </w:rPr>
        <w:t>b)</w:t>
      </w:r>
      <w:r>
        <w:rPr>
          <w:rFonts w:cs="Times New Roman" w:ascii="Times New Roman" w:hAnsi="Times New Roman"/>
        </w:rPr>
        <w:t xml:space="preserve"> centralizar as atividades de controle, fiscalização, serviços burocráticos e procedimentos administrativos e financeiros;</w:t>
      </w:r>
    </w:p>
    <w:p>
      <w:pPr>
        <w:pStyle w:val="Standard"/>
        <w:ind w:left="567"/>
        <w:jc w:val="both"/>
        <w:rPr>
          <w:rFonts w:ascii="Times New Roman" w:hAnsi="Times New Roman" w:cs="Times New Roman"/>
        </w:rPr>
      </w:pPr>
      <w:r>
        <w:rPr>
          <w:rFonts w:cs="Times New Roman" w:ascii="Times New Roman" w:hAnsi="Times New Roman"/>
        </w:rPr>
      </w:r>
    </w:p>
    <w:p>
      <w:pPr>
        <w:pStyle w:val="Default"/>
        <w:ind w:left="567"/>
        <w:jc w:val="both"/>
        <w:rPr/>
      </w:pPr>
      <w:r>
        <w:rPr>
          <w:b/>
          <w:bCs/>
        </w:rPr>
        <w:t xml:space="preserve">c) </w:t>
      </w:r>
      <w:r>
        <w:rPr/>
        <w:t>fiscalizar a gratuidade da prestação dos serviços gratuitos nos casos assim considerados;</w:t>
      </w:r>
    </w:p>
    <w:p>
      <w:pPr>
        <w:pStyle w:val="Default"/>
        <w:ind w:left="567"/>
        <w:jc w:val="both"/>
        <w:rPr/>
      </w:pPr>
      <w:r>
        <w:rPr/>
        <w:t xml:space="preserve"> </w:t>
      </w:r>
    </w:p>
    <w:p>
      <w:pPr>
        <w:pStyle w:val="Default"/>
        <w:ind w:left="567"/>
        <w:jc w:val="both"/>
        <w:rPr/>
      </w:pPr>
      <w:r>
        <w:rPr>
          <w:b/>
          <w:bCs/>
        </w:rPr>
        <w:t xml:space="preserve">d) </w:t>
      </w:r>
      <w:r>
        <w:rPr/>
        <w:t>promover as medidas necessárias, inclusive expedindo notificações e autuações.</w:t>
      </w:r>
    </w:p>
    <w:p>
      <w:pPr>
        <w:pStyle w:val="Default"/>
        <w:jc w:val="both"/>
        <w:rPr>
          <w:b/>
        </w:rPr>
      </w:pPr>
      <w:r>
        <w:rPr>
          <w:b/>
        </w:rPr>
      </w:r>
    </w:p>
    <w:p>
      <w:pPr>
        <w:pStyle w:val="Default"/>
        <w:jc w:val="both"/>
        <w:rPr/>
      </w:pPr>
      <w:r>
        <w:rPr>
          <w:b/>
          <w:bCs/>
          <w:color w:val="auto"/>
          <w:lang w:eastAsia="en-US"/>
        </w:rPr>
        <w:t>17.10.</w:t>
      </w:r>
      <w:r>
        <w:rPr>
          <w:b/>
        </w:rPr>
        <w:t xml:space="preserve"> </w:t>
      </w:r>
      <w:r>
        <w:rPr/>
        <w:t xml:space="preserve">No exercício da ação fiscalizadora, qualquer agente do CONCEDENTE terá livre acesso a todas as dependências e instalações </w:t>
      </w:r>
      <w:r>
        <w:rPr>
          <w:color w:val="auto"/>
          <w:lang w:eastAsia="en-US"/>
        </w:rPr>
        <w:t>da(s) CONCESSIONÁRIA(s).</w:t>
      </w:r>
    </w:p>
    <w:p>
      <w:pPr>
        <w:pStyle w:val="Default"/>
        <w:jc w:val="both"/>
        <w:rPr>
          <w:b/>
          <w:bCs/>
          <w:color w:val="C9211E"/>
          <w:lang w:eastAsia="en-US"/>
        </w:rPr>
      </w:pPr>
      <w:r>
        <w:rPr>
          <w:b/>
          <w:bCs/>
          <w:color w:val="C9211E"/>
          <w:lang w:eastAsia="en-US"/>
        </w:rPr>
      </w:r>
    </w:p>
    <w:p>
      <w:pPr>
        <w:pStyle w:val="Nivel1"/>
        <w:numPr>
          <w:ilvl w:val="0"/>
          <w:numId w:val="66"/>
        </w:numPr>
        <w:tabs>
          <w:tab w:val="clear" w:pos="288"/>
          <w:tab w:val="clear" w:pos="1008"/>
          <w:tab w:val="clear" w:pos="1728"/>
          <w:tab w:val="clear" w:pos="2448"/>
          <w:tab w:val="clear" w:pos="3168"/>
          <w:tab w:val="clear" w:pos="3888"/>
          <w:tab w:val="clear" w:pos="4608"/>
          <w:tab w:val="clear" w:pos="5328"/>
          <w:tab w:val="clear" w:pos="6048"/>
          <w:tab w:val="clear" w:pos="6768"/>
          <w:tab w:val="left" w:pos="570" w:leader="none"/>
          <w:tab w:val="left" w:pos="1290" w:leader="none"/>
          <w:tab w:val="left" w:pos="2010" w:leader="none"/>
          <w:tab w:val="left" w:pos="2730" w:leader="none"/>
          <w:tab w:val="left" w:pos="3450" w:leader="none"/>
          <w:tab w:val="left" w:pos="4170" w:leader="none"/>
          <w:tab w:val="left" w:pos="4890" w:leader="none"/>
          <w:tab w:val="left" w:pos="5610" w:leader="none"/>
          <w:tab w:val="left" w:pos="6330" w:leader="none"/>
          <w:tab w:val="left" w:pos="7050" w:leader="none"/>
        </w:tabs>
        <w:spacing w:lineRule="auto" w:line="240" w:before="0" w:after="0"/>
        <w:outlineLvl w:val="9"/>
        <w:rPr>
          <w:rFonts w:ascii="Times New Roman" w:hAnsi="Times New Roman" w:cs="Times New Roman"/>
          <w:sz w:val="24"/>
          <w:szCs w:val="24"/>
        </w:rPr>
      </w:pPr>
      <w:r>
        <w:rPr>
          <w:rFonts w:cs="Times New Roman" w:ascii="Times New Roman" w:hAnsi="Times New Roman"/>
          <w:sz w:val="24"/>
          <w:szCs w:val="24"/>
        </w:rPr>
        <w:t>18. DO PAGAMENTO</w:t>
      </w:r>
    </w:p>
    <w:p>
      <w:pPr>
        <w:pStyle w:val="Standard"/>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b/>
        </w:rPr>
      </w:pPr>
      <w:r>
        <w:rPr>
          <w:rFonts w:cs="Times New Roman" w:ascii="Times New Roman" w:hAnsi="Times New Roman"/>
          <w:b/>
        </w:rPr>
      </w:r>
    </w:p>
    <w:p>
      <w:pPr>
        <w:pStyle w:val="Standard"/>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bCs/>
        </w:rPr>
        <w:t>18.1.</w:t>
      </w:r>
      <w:r>
        <w:rPr>
          <w:rFonts w:cs="Times New Roman" w:ascii="Times New Roman" w:hAnsi="Times New Roman"/>
        </w:rPr>
        <w:t xml:space="preserve"> Não haverá nenhum pagamento por parte do CONCEDENTE pelos serviços prestados pela(s) CONCESSIONÁRIA(s), observado o disposto no item 8.2, deste TERMO DE REFERÊNCIA.</w:t>
      </w:r>
    </w:p>
    <w:p>
      <w:pPr>
        <w:pStyle w:val="Standard"/>
        <w:jc w:val="both"/>
        <w:rPr>
          <w:rFonts w:ascii="Times New Roman" w:hAnsi="Times New Roman" w:eastAsia="Arial" w:cs="Times New Roman"/>
          <w:kern w:val="0"/>
          <w:lang w:eastAsia="en-US"/>
        </w:rPr>
      </w:pPr>
      <w:r>
        <w:rPr>
          <w:rFonts w:eastAsia="Arial" w:cs="Times New Roman" w:ascii="Times New Roman" w:hAnsi="Times New Roman"/>
          <w:kern w:val="0"/>
          <w:lang w:eastAsia="en-US"/>
        </w:rPr>
      </w:r>
    </w:p>
    <w:p>
      <w:pPr>
        <w:pStyle w:val="Standard"/>
        <w:jc w:val="both"/>
        <w:textAlignment w:val="top"/>
        <w:rPr/>
      </w:pPr>
      <w:r>
        <w:rPr>
          <w:rFonts w:eastAsia="Times New Roman" w:cs="Times New Roman" w:ascii="Times New Roman" w:hAnsi="Times New Roman"/>
          <w:b/>
          <w:bCs/>
          <w:lang w:bidi="ar-SA"/>
        </w:rPr>
        <w:t>19. DA GARANTIA DE EXECUÇÃO CONTRATUAL</w:t>
      </w:r>
    </w:p>
    <w:p>
      <w:pPr>
        <w:pStyle w:val="Standard"/>
        <w:ind w:firstLine="567"/>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jc w:val="both"/>
        <w:textAlignment w:val="top"/>
        <w:rPr/>
      </w:pPr>
      <w:r>
        <w:rPr>
          <w:rFonts w:eastAsia="Times New Roman" w:cs="Times New Roman" w:ascii="Times New Roman" w:hAnsi="Times New Roman"/>
          <w:b/>
          <w:bCs/>
          <w:lang w:eastAsia="en-US" w:bidi="ar-SA"/>
        </w:rPr>
        <w:t>19.1.</w:t>
      </w:r>
      <w:r>
        <w:rPr>
          <w:rFonts w:eastAsia="Times New Roman" w:cs="Times New Roman" w:ascii="Times New Roman" w:hAnsi="Times New Roman"/>
          <w:lang w:eastAsia="en-US" w:bidi="ar-SA"/>
        </w:rPr>
        <w:t xml:space="preserve"> Não haverá a exigência da garantia de execução contratual.</w:t>
      </w:r>
    </w:p>
    <w:p>
      <w:pPr>
        <w:pStyle w:val="Standard"/>
        <w:jc w:val="both"/>
        <w:rPr>
          <w:rFonts w:ascii="Times New Roman" w:hAnsi="Times New Roman" w:cs="Times New Roman"/>
          <w:b/>
          <w:bCs/>
          <w:color w:val="000000"/>
          <w:lang w:eastAsia="en-US"/>
        </w:rPr>
      </w:pPr>
      <w:r>
        <w:rPr>
          <w:rFonts w:cs="Times New Roman" w:ascii="Times New Roman" w:hAnsi="Times New Roman"/>
          <w:b/>
          <w:bCs/>
          <w:color w:val="000000"/>
          <w:lang w:eastAsia="en-US"/>
        </w:rPr>
      </w:r>
    </w:p>
    <w:p>
      <w:pPr>
        <w:pStyle w:val="Standard"/>
        <w:numPr>
          <w:ilvl w:val="0"/>
          <w:numId w:val="67"/>
        </w:numPr>
        <w:jc w:val="both"/>
        <w:rPr/>
      </w:pPr>
      <w:r>
        <w:rPr>
          <w:rFonts w:cs="Times New Roman" w:ascii="Times New Roman" w:hAnsi="Times New Roman"/>
          <w:b/>
          <w:bCs/>
          <w:color w:val="000000"/>
          <w:lang w:eastAsia="en-US"/>
        </w:rPr>
        <w:t xml:space="preserve">20. DO </w:t>
      </w:r>
      <w:r>
        <w:rPr>
          <w:rFonts w:eastAsia="Times New Roman" w:cs="Times New Roman" w:ascii="Times New Roman" w:hAnsi="Times New Roman"/>
          <w:b/>
          <w:bCs/>
          <w:lang w:bidi="ar-SA"/>
        </w:rPr>
        <w:t>ATENDIMENTO AO DISPOSTO NA LEI GERAL DE PROTEÇÃO DE DADOS – LEI N. 13.709/2018 (LGPD)</w:t>
      </w:r>
    </w:p>
    <w:p>
      <w:pPr>
        <w:pStyle w:val="Standard"/>
        <w:numPr>
          <w:ilvl w:val="0"/>
          <w:numId w:val="68"/>
        </w:numPr>
        <w:jc w:val="both"/>
        <w:rPr>
          <w:rFonts w:ascii="Times New Roman" w:hAnsi="Times New Roman" w:cs="Times New Roman"/>
          <w:bCs/>
          <w:i/>
          <w:i/>
          <w:iCs/>
          <w:lang w:eastAsia="en-US"/>
        </w:rPr>
      </w:pPr>
      <w:r>
        <w:rPr>
          <w:rFonts w:cs="Times New Roman" w:ascii="Times New Roman" w:hAnsi="Times New Roman"/>
          <w:bCs/>
          <w:i/>
          <w:iCs/>
          <w:lang w:eastAsia="en-US"/>
        </w:rPr>
      </w:r>
    </w:p>
    <w:p>
      <w:pPr>
        <w:pStyle w:val="Standard"/>
        <w:keepLines/>
        <w:numPr>
          <w:ilvl w:val="0"/>
          <w:numId w:val="69"/>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rPr/>
      </w:pPr>
      <w:r>
        <w:rPr>
          <w:rFonts w:cs="Times New Roman" w:ascii="Times New Roman" w:hAnsi="Times New Roman"/>
          <w:b/>
          <w:bCs/>
          <w:lang w:eastAsia="en-US"/>
        </w:rPr>
        <w:t xml:space="preserve">20.1. </w:t>
      </w:r>
      <w:r>
        <w:rPr>
          <w:rFonts w:cs="Times New Roman" w:ascii="Times New Roman" w:hAnsi="Times New Roman"/>
          <w:kern w:val="0"/>
          <w:lang w:eastAsia="en-US"/>
        </w:rPr>
        <w:t>A(s) CONCESSIONÁRIA(s)</w:t>
      </w:r>
      <w:r>
        <w:rPr>
          <w:rFonts w:cs="Times New Roman" w:ascii="Times New Roman" w:hAnsi="Times New Roman"/>
        </w:rPr>
        <w:t xml:space="preserve"> fica(m) obrigada(s) a:</w:t>
      </w:r>
    </w:p>
    <w:p>
      <w:pPr>
        <w:pStyle w:val="Standard"/>
        <w:numPr>
          <w:ilvl w:val="0"/>
          <w:numId w:val="70"/>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rPr>
          <w:rFonts w:ascii="Times New Roman" w:hAnsi="Times New Roman" w:cs="Times New Roman"/>
        </w:rPr>
      </w:pPr>
      <w:r>
        <w:rPr>
          <w:rFonts w:cs="Times New Roman" w:ascii="Times New Roman" w:hAnsi="Times New Roman"/>
        </w:rPr>
      </w:r>
    </w:p>
    <w:p>
      <w:pPr>
        <w:pStyle w:val="Standard"/>
        <w:numPr>
          <w:ilvl w:val="0"/>
          <w:numId w:val="71"/>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rPr/>
      </w:pPr>
      <w:r>
        <w:rPr>
          <w:rFonts w:cs="Times New Roman" w:ascii="Times New Roman" w:hAnsi="Times New Roman"/>
          <w:b/>
          <w:bCs/>
        </w:rPr>
        <w:t xml:space="preserve">a) </w:t>
      </w:r>
      <w:r>
        <w:rPr>
          <w:rFonts w:cs="Times New Roman" w:ascii="Times New Roman" w:hAnsi="Times New Roman"/>
        </w:rPr>
        <w:t>cumprir as solicitações da Autoridade Nacional de Proteção de Dados (ANPD);</w:t>
      </w:r>
    </w:p>
    <w:p>
      <w:pPr>
        <w:pStyle w:val="Standard"/>
        <w:numPr>
          <w:ilvl w:val="0"/>
          <w:numId w:val="72"/>
        </w:numPr>
        <w:ind w:left="283"/>
        <w:jc w:val="both"/>
        <w:rPr>
          <w:rFonts w:ascii="Times New Roman" w:hAnsi="Times New Roman" w:cs="Times New Roman"/>
        </w:rPr>
      </w:pPr>
      <w:r>
        <w:rPr>
          <w:rFonts w:cs="Times New Roman" w:ascii="Times New Roman" w:hAnsi="Times New Roman"/>
        </w:rPr>
      </w:r>
    </w:p>
    <w:p>
      <w:pPr>
        <w:pStyle w:val="Textbody"/>
        <w:numPr>
          <w:ilvl w:val="0"/>
          <w:numId w:val="73"/>
        </w:numPr>
        <w:spacing w:lineRule="auto" w:line="240" w:before="0" w:after="0"/>
        <w:ind w:left="283"/>
        <w:jc w:val="both"/>
        <w:textAlignment w:val="top"/>
        <w:rPr/>
      </w:pPr>
      <w:r>
        <w:rPr>
          <w:rFonts w:cs="Times New Roman" w:ascii="Times New Roman" w:hAnsi="Times New Roman"/>
          <w:b/>
          <w:bCs/>
        </w:rPr>
        <w:t xml:space="preserve">b) </w:t>
      </w:r>
      <w:r>
        <w:rPr>
          <w:rFonts w:cs="Times New Roman" w:ascii="Times New Roman" w:hAnsi="Times New Roman"/>
        </w:rPr>
        <w:t xml:space="preserve">cumprir com o estabelecido pelo </w:t>
      </w:r>
      <w:r>
        <w:rPr>
          <w:rFonts w:cs="Times New Roman" w:ascii="Times New Roman" w:hAnsi="Times New Roman"/>
          <w:bCs/>
          <w:lang w:eastAsia="en-US"/>
        </w:rPr>
        <w:t>CONCEDENTE</w:t>
      </w:r>
      <w:r>
        <w:rPr>
          <w:rFonts w:cs="Times New Roman" w:ascii="Times New Roman" w:hAnsi="Times New Roman"/>
        </w:rPr>
        <w:t xml:space="preserve"> para o tratamento de dados e dentro das finalidades necessárias ao cumprimento do objeto contratado;</w:t>
      </w:r>
    </w:p>
    <w:p>
      <w:pPr>
        <w:pStyle w:val="Textbody"/>
        <w:numPr>
          <w:ilvl w:val="0"/>
          <w:numId w:val="74"/>
        </w:numPr>
        <w:spacing w:lineRule="auto" w:line="240" w:before="0" w:after="0"/>
        <w:ind w:left="283"/>
        <w:jc w:val="both"/>
        <w:textAlignment w:val="top"/>
        <w:rPr>
          <w:rFonts w:ascii="Times New Roman" w:hAnsi="Times New Roman" w:cs="Times New Roman"/>
        </w:rPr>
      </w:pPr>
      <w:r>
        <w:rPr>
          <w:rFonts w:cs="Times New Roman" w:ascii="Times New Roman" w:hAnsi="Times New Roman"/>
        </w:rPr>
      </w:r>
    </w:p>
    <w:p>
      <w:pPr>
        <w:pStyle w:val="Textbody"/>
        <w:numPr>
          <w:ilvl w:val="0"/>
          <w:numId w:val="75"/>
        </w:numPr>
        <w:spacing w:lineRule="auto" w:line="240" w:before="0" w:after="0"/>
        <w:ind w:left="283"/>
        <w:jc w:val="both"/>
        <w:textAlignment w:val="top"/>
        <w:rPr/>
      </w:pPr>
      <w:r>
        <w:rPr>
          <w:rFonts w:cs="Times New Roman" w:ascii="Times New Roman" w:hAnsi="Times New Roman"/>
          <w:b/>
          <w:bCs/>
        </w:rPr>
        <w:t xml:space="preserve">c) </w:t>
      </w:r>
      <w:r>
        <w:rPr>
          <w:rFonts w:cs="Times New Roman" w:ascii="Times New Roman" w:hAnsi="Times New Roman"/>
        </w:rPr>
        <w:t>guardar o mais absoluto sigilo sobre os dados pessoais que lhes forem confiados por força da execução do contrato, estendendo tal obrigação a eventuais empregados, assumindo a responsabilidade e as consequências advindas da sua divulgação não autorizada ou utilização indevida, inclusive cível e penal;</w:t>
      </w:r>
    </w:p>
    <w:p>
      <w:pPr>
        <w:pStyle w:val="Textbody"/>
        <w:numPr>
          <w:ilvl w:val="0"/>
          <w:numId w:val="76"/>
        </w:numPr>
        <w:spacing w:lineRule="auto" w:line="240" w:before="0" w:after="0"/>
        <w:ind w:left="283"/>
        <w:jc w:val="both"/>
        <w:textAlignment w:val="top"/>
        <w:rPr>
          <w:rFonts w:ascii="Times New Roman" w:hAnsi="Times New Roman" w:cs="Times New Roman"/>
        </w:rPr>
      </w:pPr>
      <w:r>
        <w:rPr>
          <w:rFonts w:cs="Times New Roman" w:ascii="Times New Roman" w:hAnsi="Times New Roman"/>
        </w:rPr>
      </w:r>
    </w:p>
    <w:p>
      <w:pPr>
        <w:pStyle w:val="Textbody"/>
        <w:numPr>
          <w:ilvl w:val="0"/>
          <w:numId w:val="77"/>
        </w:numPr>
        <w:spacing w:lineRule="auto" w:line="240" w:before="0" w:after="0"/>
        <w:ind w:left="283"/>
        <w:jc w:val="both"/>
        <w:textAlignment w:val="top"/>
        <w:rPr/>
      </w:pPr>
      <w:r>
        <w:rPr>
          <w:rFonts w:cs="Times New Roman" w:ascii="Times New Roman" w:hAnsi="Times New Roman"/>
          <w:b/>
          <w:bCs/>
        </w:rPr>
        <w:t xml:space="preserve">d) </w:t>
      </w:r>
      <w:r>
        <w:rPr>
          <w:rFonts w:cs="Times New Roman" w:ascii="Times New Roman" w:hAnsi="Times New Roman"/>
        </w:rPr>
        <w:t>não utilizar os dados obtidos por meio desse ajuste para finalidade diversa;</w:t>
      </w:r>
    </w:p>
    <w:p>
      <w:pPr>
        <w:pStyle w:val="Textbody"/>
        <w:numPr>
          <w:ilvl w:val="0"/>
          <w:numId w:val="78"/>
        </w:numPr>
        <w:spacing w:lineRule="auto" w:line="240" w:before="0" w:after="0"/>
        <w:ind w:left="283"/>
        <w:jc w:val="both"/>
        <w:textAlignment w:val="top"/>
        <w:rPr>
          <w:rFonts w:ascii="Times New Roman" w:hAnsi="Times New Roman" w:cs="Times New Roman"/>
        </w:rPr>
      </w:pPr>
      <w:r>
        <w:rPr>
          <w:rFonts w:cs="Times New Roman" w:ascii="Times New Roman" w:hAnsi="Times New Roman"/>
        </w:rPr>
      </w:r>
    </w:p>
    <w:p>
      <w:pPr>
        <w:pStyle w:val="Textbody"/>
        <w:numPr>
          <w:ilvl w:val="0"/>
          <w:numId w:val="79"/>
        </w:numPr>
        <w:spacing w:lineRule="auto" w:line="240" w:before="0" w:after="0"/>
        <w:ind w:left="283"/>
        <w:jc w:val="both"/>
        <w:textAlignment w:val="top"/>
        <w:rPr/>
      </w:pPr>
      <w:r>
        <w:rPr>
          <w:rFonts w:cs="Times New Roman" w:ascii="Times New Roman" w:hAnsi="Times New Roman"/>
          <w:b/>
          <w:bCs/>
        </w:rPr>
        <w:t xml:space="preserve">e) </w:t>
      </w:r>
      <w:r>
        <w:rPr>
          <w:rFonts w:cs="Times New Roman" w:ascii="Times New Roman" w:hAnsi="Times New Roman"/>
        </w:rPr>
        <w:t xml:space="preserve">notificar o </w:t>
      </w:r>
      <w:r>
        <w:rPr>
          <w:rFonts w:cs="Times New Roman" w:ascii="Times New Roman" w:hAnsi="Times New Roman"/>
          <w:bCs/>
          <w:lang w:eastAsia="en-US"/>
        </w:rPr>
        <w:t>CONCEDENTE</w:t>
      </w:r>
      <w:r>
        <w:rPr>
          <w:rFonts w:cs="Times New Roman" w:ascii="Times New Roman" w:hAnsi="Times New Roman"/>
        </w:rPr>
        <w:t xml:space="preserve"> em caso de vazamento de dados que conduza à destruição, perda, alteração ou divulgação não autorizada de dados, por escrito, no prazo máximo de 24 (vinte e quatro) horas contadas da descoberta da referida violação;</w:t>
      </w:r>
    </w:p>
    <w:p>
      <w:pPr>
        <w:pStyle w:val="Textbody"/>
        <w:numPr>
          <w:ilvl w:val="0"/>
          <w:numId w:val="80"/>
        </w:numPr>
        <w:spacing w:lineRule="auto" w:line="240" w:before="0" w:after="0"/>
        <w:ind w:left="283"/>
        <w:jc w:val="both"/>
        <w:textAlignment w:val="top"/>
        <w:rPr>
          <w:rFonts w:ascii="Times New Roman" w:hAnsi="Times New Roman" w:cs="Times New Roman"/>
        </w:rPr>
      </w:pPr>
      <w:r>
        <w:rPr>
          <w:rFonts w:cs="Times New Roman" w:ascii="Times New Roman" w:hAnsi="Times New Roman"/>
        </w:rPr>
      </w:r>
    </w:p>
    <w:p>
      <w:pPr>
        <w:pStyle w:val="Textbody"/>
        <w:numPr>
          <w:ilvl w:val="0"/>
          <w:numId w:val="81"/>
        </w:numPr>
        <w:spacing w:lineRule="auto" w:line="240" w:before="0" w:after="0"/>
        <w:ind w:left="283"/>
        <w:jc w:val="both"/>
        <w:textAlignment w:val="top"/>
        <w:rPr/>
      </w:pPr>
      <w:r>
        <w:rPr>
          <w:rFonts w:cs="Times New Roman" w:ascii="Times New Roman" w:hAnsi="Times New Roman"/>
          <w:b/>
          <w:bCs/>
        </w:rPr>
        <w:t xml:space="preserve">f) </w:t>
      </w:r>
      <w:r>
        <w:rPr>
          <w:rFonts w:cs="Times New Roman" w:ascii="Times New Roman" w:hAnsi="Times New Roman"/>
        </w:rPr>
        <w:t xml:space="preserve">fornecer informações úteis ao </w:t>
      </w:r>
      <w:r>
        <w:rPr>
          <w:rFonts w:cs="Times New Roman" w:ascii="Times New Roman" w:hAnsi="Times New Roman"/>
          <w:bCs/>
          <w:lang w:eastAsia="en-US"/>
        </w:rPr>
        <w:t>CONCEDENTE</w:t>
      </w:r>
      <w:r>
        <w:rPr>
          <w:rFonts w:cs="Times New Roman" w:ascii="Times New Roman" w:hAnsi="Times New Roman"/>
        </w:rPr>
        <w:t xml:space="preserve"> sobre a natureza e âmbito dos Dados Pessoais possivelmente afetados e as medidas corretivas tomadas ou planejadas;</w:t>
      </w:r>
    </w:p>
    <w:p>
      <w:pPr>
        <w:pStyle w:val="Textbody"/>
        <w:numPr>
          <w:ilvl w:val="0"/>
          <w:numId w:val="82"/>
        </w:numPr>
        <w:spacing w:lineRule="auto" w:line="240" w:before="0" w:after="0"/>
        <w:ind w:left="283"/>
        <w:jc w:val="both"/>
        <w:textAlignment w:val="top"/>
        <w:rPr>
          <w:rFonts w:ascii="Times New Roman" w:hAnsi="Times New Roman" w:cs="Times New Roman"/>
        </w:rPr>
      </w:pPr>
      <w:r>
        <w:rPr>
          <w:rFonts w:cs="Times New Roman" w:ascii="Times New Roman" w:hAnsi="Times New Roman"/>
        </w:rPr>
      </w:r>
    </w:p>
    <w:p>
      <w:pPr>
        <w:pStyle w:val="Textbody"/>
        <w:numPr>
          <w:ilvl w:val="0"/>
          <w:numId w:val="83"/>
        </w:numPr>
        <w:spacing w:lineRule="auto" w:line="240" w:before="0" w:after="0"/>
        <w:ind w:left="283"/>
        <w:jc w:val="both"/>
        <w:textAlignment w:val="top"/>
        <w:rPr/>
      </w:pPr>
      <w:r>
        <w:rPr>
          <w:rFonts w:cs="Times New Roman" w:ascii="Times New Roman" w:hAnsi="Times New Roman"/>
          <w:b/>
          <w:bCs/>
        </w:rPr>
        <w:t xml:space="preserve">g) </w:t>
      </w:r>
      <w:r>
        <w:rPr>
          <w:rFonts w:cs="Times New Roman" w:ascii="Times New Roman" w:hAnsi="Times New Roman"/>
        </w:rPr>
        <w:t>implementar medidas corretivas a fim de impedir violações e a fim de limitar o seu impacto sobre os titulares de dados, na medida do possível.</w:t>
      </w:r>
    </w:p>
    <w:p>
      <w:pPr>
        <w:pStyle w:val="Default"/>
        <w:jc w:val="both"/>
        <w:rPr>
          <w:b/>
        </w:rPr>
      </w:pPr>
      <w:r>
        <w:rPr>
          <w:b/>
        </w:rPr>
      </w:r>
    </w:p>
    <w:p>
      <w:pPr>
        <w:pStyle w:val="Default"/>
        <w:jc w:val="both"/>
        <w:rPr/>
      </w:pPr>
      <w:r>
        <w:rPr>
          <w:b/>
        </w:rPr>
        <w:t>21. DAS SANÇÕES ADMINISTRATIVAS</w:t>
      </w:r>
    </w:p>
    <w:p>
      <w:pPr>
        <w:pStyle w:val="Default"/>
        <w:jc w:val="both"/>
        <w:rPr>
          <w:b/>
        </w:rPr>
      </w:pPr>
      <w:r>
        <w:rPr>
          <w:b/>
        </w:rPr>
      </w:r>
    </w:p>
    <w:p>
      <w:pPr>
        <w:pStyle w:val="ListParagraph"/>
        <w:keepLines/>
        <w:numPr>
          <w:ilvl w:val="0"/>
          <w:numId w:val="84"/>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rPr/>
      </w:pPr>
      <w:r>
        <w:rPr>
          <w:rFonts w:cs="Times New Roman" w:ascii="Times New Roman" w:hAnsi="Times New Roman"/>
          <w:b/>
          <w:bCs/>
        </w:rPr>
        <w:t>21.1.</w:t>
      </w:r>
      <w:r>
        <w:rPr>
          <w:rFonts w:cs="Times New Roman" w:ascii="Times New Roman" w:hAnsi="Times New Roman"/>
        </w:rPr>
        <w:t xml:space="preserve"> A</w:t>
      </w:r>
      <w:r>
        <w:rPr>
          <w:rFonts w:eastAsia="Arial-BoldMT" w:cs="Times New Roman" w:ascii="Times New Roman" w:hAnsi="Times New Roman"/>
          <w:kern w:val="0"/>
          <w:lang w:eastAsia="en-US"/>
        </w:rPr>
        <w:t>(s) CONCESSIONÁRIA(s)</w:t>
      </w:r>
      <w:r>
        <w:rPr>
          <w:rFonts w:cs="Times New Roman" w:ascii="Times New Roman" w:hAnsi="Times New Roman"/>
        </w:rPr>
        <w:t xml:space="preserve"> que cometer(em) qualquer conduta que infrinja as condições e prazos estabelecidos no instrumento, em contrato ou na legislação atinente à execução do objeto ficará sujeita, sem prejuízo da responsabilidade civil e criminal, conforme disposto na Lei n.º 14.133/21, na Lei Federal n.º 8.987/95 e na Lei Complementar Municipal n.º 670/2021, às sanções a seguir estabelecidas, aplicáveis após regular Processo Administrativo de Penalização de fornecedor em conformidade com o </w:t>
      </w:r>
      <w:r>
        <w:rPr>
          <w:rFonts w:cs="Times New Roman" w:ascii="Times New Roman" w:hAnsi="Times New Roman"/>
          <w:kern w:val="0"/>
        </w:rPr>
        <w:t>Decreto Municipal n.º 24.134, de 19 de março de 2026</w:t>
      </w:r>
      <w:r>
        <w:rPr>
          <w:rFonts w:cs="Times New Roman" w:ascii="Times New Roman" w:hAnsi="Times New Roman"/>
        </w:rPr>
        <w:t xml:space="preserve"> e alterações:</w:t>
      </w:r>
    </w:p>
    <w:p>
      <w:pPr>
        <w:pStyle w:val="Standard"/>
        <w:numPr>
          <w:ilvl w:val="0"/>
          <w:numId w:val="85"/>
        </w:numPr>
        <w:tabs>
          <w:tab w:val="clear" w:pos="720"/>
          <w:tab w:val="left" w:pos="6964" w:leader="none"/>
          <w:tab w:val="left" w:pos="7820" w:leader="none"/>
          <w:tab w:val="left" w:pos="8404" w:leader="none"/>
          <w:tab w:val="left" w:pos="9124" w:leader="none"/>
          <w:tab w:val="left" w:pos="9844" w:leader="none"/>
          <w:tab w:val="left" w:pos="10564" w:leader="none"/>
          <w:tab w:val="left" w:pos="11284" w:leader="none"/>
          <w:tab w:val="left" w:pos="12004" w:leader="none"/>
          <w:tab w:val="left" w:pos="12724" w:leader="none"/>
          <w:tab w:val="left" w:pos="13444" w:leader="none"/>
        </w:tabs>
        <w:jc w:val="both"/>
        <w:rPr>
          <w:rFonts w:ascii="Times New Roman" w:hAnsi="Times New Roman" w:cs="Times New Roman"/>
          <w:b/>
          <w:color w:val="000000"/>
          <w:shd w:fill="FFCC99" w:val="clear"/>
        </w:rPr>
      </w:pPr>
      <w:r>
        <w:rPr>
          <w:rFonts w:cs="Times New Roman" w:ascii="Times New Roman" w:hAnsi="Times New Roman"/>
          <w:b/>
          <w:color w:val="000000"/>
          <w:shd w:fill="FFCC99" w:val="clear"/>
        </w:rPr>
      </w:r>
    </w:p>
    <w:p>
      <w:pPr>
        <w:pStyle w:val="ListParagraph"/>
        <w:numPr>
          <w:ilvl w:val="0"/>
          <w:numId w:val="86"/>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rPr>
        <w:t>21.1.1. ADVERTÊNCIA ESCRITA</w:t>
      </w:r>
      <w:r>
        <w:rPr>
          <w:rFonts w:cs="Times New Roman" w:ascii="Times New Roman" w:hAnsi="Times New Roman"/>
        </w:rPr>
        <w:t xml:space="preserve"> em razão de falhas que não caibam a aplicação de sanção mais grave em virtude de serem corrigidas no prazo estipulado pela fiscalização.</w:t>
      </w:r>
    </w:p>
    <w:p>
      <w:pPr>
        <w:pStyle w:val="ListParagraph"/>
        <w:numPr>
          <w:ilvl w:val="0"/>
          <w:numId w:val="87"/>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rPr>
      </w:pPr>
      <w:r>
        <w:rPr>
          <w:rFonts w:cs="Times New Roman" w:ascii="Times New Roman" w:hAnsi="Times New Roman"/>
        </w:rPr>
      </w:r>
    </w:p>
    <w:p>
      <w:pPr>
        <w:pStyle w:val="ListParagraph"/>
        <w:numPr>
          <w:ilvl w:val="0"/>
          <w:numId w:val="88"/>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rPr>
        <w:t>21.1.2.</w:t>
      </w:r>
      <w:r>
        <w:rPr>
          <w:rFonts w:cs="Times New Roman" w:ascii="Times New Roman" w:hAnsi="Times New Roman"/>
        </w:rPr>
        <w:t xml:space="preserve"> </w:t>
      </w:r>
      <w:r>
        <w:rPr>
          <w:rFonts w:cs="Times New Roman" w:ascii="Times New Roman" w:hAnsi="Times New Roman"/>
          <w:b/>
          <w:bCs/>
        </w:rPr>
        <w:t>MULTA</w:t>
      </w:r>
      <w:r>
        <w:rPr>
          <w:rFonts w:cs="Times New Roman" w:ascii="Times New Roman" w:hAnsi="Times New Roman"/>
        </w:rPr>
        <w:t xml:space="preserve"> por descumprimento de prazos e condições ajustados, aplicadas em quantidade de VRMs (Valor de Referência Municipal) obedecido o mínimo de 500 (quinhentos) VRMs até o máximo 5.000 (cinco mil) VRMs.</w:t>
      </w:r>
    </w:p>
    <w:p>
      <w:pPr>
        <w:pStyle w:val="ListParagraph"/>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cs="Times New Roman"/>
        </w:rPr>
      </w:pPr>
      <w:r>
        <w:rPr>
          <w:rFonts w:cs="Times New Roman" w:ascii="Times New Roman" w:hAnsi="Times New Roman"/>
        </w:rPr>
      </w:r>
    </w:p>
    <w:p>
      <w:pPr>
        <w:pStyle w:val="ListParagraph"/>
        <w:numPr>
          <w:ilvl w:val="0"/>
          <w:numId w:val="89"/>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rPr>
        <w:t>21.1.2.1.</w:t>
      </w:r>
      <w:r>
        <w:rPr>
          <w:rFonts w:cs="Times New Roman" w:ascii="Times New Roman" w:hAnsi="Times New Roman"/>
        </w:rPr>
        <w:t xml:space="preserve"> A multa deverá ser paga no prazo de 15 (quinze) dias da sua notificação ou da ciência formal do indeferimento do recurso.</w:t>
      </w:r>
    </w:p>
    <w:p>
      <w:pPr>
        <w:pStyle w:val="ListParagraph"/>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rPr>
      </w:pPr>
      <w:r>
        <w:rPr>
          <w:rFonts w:cs="Times New Roman" w:ascii="Times New Roman" w:hAnsi="Times New Roman"/>
        </w:rPr>
      </w:r>
    </w:p>
    <w:p>
      <w:pPr>
        <w:pStyle w:val="ListParagraph"/>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rPr>
        <w:t xml:space="preserve">21.1.2.2. </w:t>
      </w:r>
      <w:r>
        <w:rPr>
          <w:rFonts w:cs="Times New Roman" w:ascii="Times New Roman" w:hAnsi="Times New Roman"/>
        </w:rPr>
        <w:t>A realização de serviços funerários no Município por empresa não CONCESSIONÁRIA do serviço, acarretará em sanções para a entidade responsável pelo espaço utilizado, nos seguintes termos:</w:t>
      </w:r>
    </w:p>
    <w:p>
      <w:pPr>
        <w:pStyle w:val="ListParagraph"/>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rPr>
      </w:pPr>
      <w:r>
        <w:rPr>
          <w:rFonts w:cs="Times New Roman" w:ascii="Times New Roman" w:hAnsi="Times New Roman"/>
        </w:rPr>
      </w:r>
    </w:p>
    <w:p>
      <w:pPr>
        <w:pStyle w:val="Standard"/>
        <w:ind w:left="850"/>
        <w:rPr/>
      </w:pPr>
      <w:r>
        <w:rPr>
          <w:rFonts w:cs="Times New Roman" w:ascii="Times New Roman" w:hAnsi="Times New Roman"/>
          <w:b/>
          <w:bCs/>
          <w:kern w:val="0"/>
        </w:rPr>
        <w:t>a)</w:t>
      </w:r>
      <w:r>
        <w:rPr>
          <w:rFonts w:cs="Times New Roman" w:ascii="Times New Roman" w:hAnsi="Times New Roman"/>
        </w:rPr>
        <w:t xml:space="preserve"> multa no valor de 100 (cem) VRM's; e</w:t>
      </w:r>
    </w:p>
    <w:p>
      <w:pPr>
        <w:pStyle w:val="Standard"/>
        <w:ind w:left="850"/>
        <w:rPr>
          <w:rFonts w:ascii="Times New Roman" w:hAnsi="Times New Roman" w:cs="Times New Roman"/>
        </w:rPr>
      </w:pPr>
      <w:r>
        <w:rPr>
          <w:rFonts w:cs="Times New Roman" w:ascii="Times New Roman" w:hAnsi="Times New Roman"/>
        </w:rPr>
      </w:r>
    </w:p>
    <w:p>
      <w:pPr>
        <w:pStyle w:val="Standard"/>
        <w:tabs>
          <w:tab w:val="clear" w:pos="720"/>
          <w:tab w:val="left" w:pos="8678" w:leader="none"/>
          <w:tab w:val="left" w:pos="9524" w:leader="none"/>
          <w:tab w:val="left" w:pos="10118" w:leader="none"/>
          <w:tab w:val="left" w:pos="10838" w:leader="none"/>
          <w:tab w:val="left" w:pos="11558" w:leader="none"/>
          <w:tab w:val="left" w:pos="12278" w:leader="none"/>
          <w:tab w:val="left" w:pos="12998" w:leader="none"/>
          <w:tab w:val="left" w:pos="13718" w:leader="none"/>
          <w:tab w:val="left" w:pos="14438" w:leader="none"/>
          <w:tab w:val="left" w:pos="15158" w:leader="none"/>
        </w:tabs>
        <w:ind w:left="850"/>
        <w:jc w:val="both"/>
        <w:textAlignment w:val="top"/>
        <w:rPr/>
      </w:pPr>
      <w:r>
        <w:rPr>
          <w:rFonts w:cs="Times New Roman" w:ascii="Times New Roman" w:hAnsi="Times New Roman"/>
          <w:b/>
          <w:bCs/>
          <w:kern w:val="0"/>
        </w:rPr>
        <w:t>b)</w:t>
      </w:r>
      <w:r>
        <w:rPr>
          <w:rFonts w:cs="Times New Roman" w:ascii="Times New Roman" w:hAnsi="Times New Roman"/>
        </w:rPr>
        <w:t xml:space="preserve"> na reincidência, suspensão da autorização para realização de velórios por 1 (um) ano.</w:t>
      </w:r>
    </w:p>
    <w:p>
      <w:pPr>
        <w:pStyle w:val="Standard"/>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b/>
          <w:bCs/>
        </w:rPr>
      </w:pPr>
      <w:r>
        <w:rPr>
          <w:rFonts w:cs="Times New Roman" w:ascii="Times New Roman" w:hAnsi="Times New Roman"/>
          <w:b/>
          <w:bCs/>
        </w:rPr>
      </w:r>
    </w:p>
    <w:p>
      <w:pPr>
        <w:pStyle w:val="Standard"/>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rPr>
        <w:t>21.1.2.3.</w:t>
      </w:r>
      <w:r>
        <w:rPr>
          <w:rFonts w:cs="Times New Roman" w:ascii="Times New Roman" w:hAnsi="Times New Roman"/>
        </w:rPr>
        <w:t xml:space="preserve"> Em caso de reincidência, no mesmo fato, a penalidade de multa será acrescida de 30% (trinta por cento) do valor anteriormente aplicado.</w:t>
      </w:r>
    </w:p>
    <w:p>
      <w:pPr>
        <w:pStyle w:val="ListParagraph"/>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rPr>
      </w:pPr>
      <w:r>
        <w:rPr>
          <w:rFonts w:cs="Times New Roman" w:ascii="Times New Roman" w:hAnsi="Times New Roman"/>
        </w:rPr>
      </w:r>
    </w:p>
    <w:p>
      <w:pPr>
        <w:pStyle w:val="ListParagraph"/>
        <w:numPr>
          <w:ilvl w:val="0"/>
          <w:numId w:val="90"/>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21.1.3. IMPEDIMENTO DE LICITAR E CONTRATAR</w:t>
      </w:r>
      <w:r>
        <w:rPr>
          <w:rFonts w:cs="Times New Roman" w:ascii="Times New Roman" w:hAnsi="Times New Roman"/>
          <w:kern w:val="0"/>
        </w:rPr>
        <w:t xml:space="preserve"> com a Administração Municipal pelo </w:t>
      </w:r>
      <w:r>
        <w:rPr>
          <w:rFonts w:cs="Times New Roman" w:ascii="Times New Roman" w:hAnsi="Times New Roman"/>
          <w:b/>
          <w:bCs/>
          <w:kern w:val="0"/>
        </w:rPr>
        <w:t>prazo de até 3 (três) anos</w:t>
      </w:r>
      <w:r>
        <w:rPr>
          <w:rFonts w:cs="Times New Roman" w:ascii="Times New Roman" w:hAnsi="Times New Roman"/>
          <w:kern w:val="0"/>
        </w:rPr>
        <w:t>, bem como demais cominações legais, quando a licitante:</w:t>
      </w:r>
    </w:p>
    <w:p>
      <w:pPr>
        <w:pStyle w:val="ListParagraph"/>
        <w:numPr>
          <w:ilvl w:val="0"/>
          <w:numId w:val="91"/>
        </w:numPr>
        <w:tabs>
          <w:tab w:val="clear" w:pos="720"/>
          <w:tab w:val="left" w:pos="8848" w:leader="none"/>
          <w:tab w:val="left" w:pos="9694" w:leader="none"/>
          <w:tab w:val="left" w:pos="10288" w:leader="none"/>
          <w:tab w:val="left" w:pos="11008" w:leader="none"/>
          <w:tab w:val="left" w:pos="11728" w:leader="none"/>
          <w:tab w:val="left" w:pos="12448" w:leader="none"/>
          <w:tab w:val="left" w:pos="13168" w:leader="none"/>
          <w:tab w:val="left" w:pos="13888" w:leader="none"/>
          <w:tab w:val="left" w:pos="14608" w:leader="none"/>
          <w:tab w:val="left" w:pos="15328" w:leader="none"/>
        </w:tabs>
        <w:ind w:left="1020"/>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92"/>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a)</w:t>
      </w:r>
      <w:r>
        <w:rPr>
          <w:rFonts w:cs="Times New Roman" w:ascii="Times New Roman" w:hAnsi="Times New Roman"/>
          <w:kern w:val="0"/>
        </w:rPr>
        <w:t xml:space="preserve"> ensejar o retardamento </w:t>
      </w:r>
      <w:r>
        <w:rPr>
          <w:rFonts w:cs="Times New Roman" w:ascii="Times New Roman" w:hAnsi="Times New Roman"/>
          <w:color w:val="000000"/>
          <w:kern w:val="0"/>
        </w:rPr>
        <w:t>da execução ou da entrega do objeto da contratação sem motivo justificado</w:t>
      </w:r>
      <w:r>
        <w:rPr>
          <w:rFonts w:cs="Times New Roman" w:ascii="Times New Roman" w:hAnsi="Times New Roman"/>
          <w:kern w:val="0"/>
        </w:rPr>
        <w:t>;</w:t>
      </w:r>
    </w:p>
    <w:p>
      <w:pPr>
        <w:pStyle w:val="ListParagraph"/>
        <w:numPr>
          <w:ilvl w:val="0"/>
          <w:numId w:val="93"/>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94"/>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b)</w:t>
      </w:r>
      <w:r>
        <w:rPr>
          <w:rFonts w:cs="Times New Roman" w:ascii="Times New Roman" w:hAnsi="Times New Roman"/>
          <w:kern w:val="0"/>
        </w:rPr>
        <w:t xml:space="preserve"> dar causa à inexecução total ou parcial do objeto;</w:t>
      </w:r>
    </w:p>
    <w:p>
      <w:pPr>
        <w:pStyle w:val="ListParagraph"/>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95"/>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c)</w:t>
      </w:r>
      <w:r>
        <w:rPr>
          <w:rFonts w:cs="Times New Roman" w:ascii="Times New Roman" w:hAnsi="Times New Roman"/>
          <w:kern w:val="0"/>
        </w:rPr>
        <w:t xml:space="preserve"> </w:t>
      </w:r>
      <w:r>
        <w:rPr>
          <w:rFonts w:cs="Times New Roman" w:ascii="Times New Roman" w:hAnsi="Times New Roman"/>
          <w:color w:val="000000"/>
          <w:kern w:val="0"/>
        </w:rPr>
        <w:t>dar causa à inexecução parcial do contrato que cause grave dano à Administração, ao funcionamento dos serviços públicos ou ao interesse coletivo;</w:t>
      </w:r>
    </w:p>
    <w:p>
      <w:pPr>
        <w:pStyle w:val="ListParagraph"/>
        <w:numPr>
          <w:ilvl w:val="0"/>
          <w:numId w:val="96"/>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97"/>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d)</w:t>
      </w:r>
      <w:r>
        <w:rPr>
          <w:rFonts w:cs="Times New Roman" w:ascii="Times New Roman" w:hAnsi="Times New Roman"/>
          <w:kern w:val="0"/>
        </w:rPr>
        <w:t xml:space="preserve"> </w:t>
      </w:r>
      <w:r>
        <w:rPr>
          <w:rFonts w:cs="Times New Roman" w:ascii="Times New Roman" w:hAnsi="Times New Roman"/>
          <w:color w:val="000000"/>
          <w:kern w:val="0"/>
        </w:rPr>
        <w:t>deixar de entregar a documentação exigida para o certame;</w:t>
      </w:r>
    </w:p>
    <w:p>
      <w:pPr>
        <w:pStyle w:val="ListParagraph"/>
        <w:numPr>
          <w:ilvl w:val="0"/>
          <w:numId w:val="98"/>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color w:val="000000"/>
          <w:kern w:val="0"/>
        </w:rPr>
      </w:pPr>
      <w:r>
        <w:rPr>
          <w:rFonts w:cs="Times New Roman" w:ascii="Times New Roman" w:hAnsi="Times New Roman"/>
          <w:color w:val="000000"/>
          <w:kern w:val="0"/>
        </w:rPr>
      </w:r>
    </w:p>
    <w:p>
      <w:pPr>
        <w:pStyle w:val="ListParagraph"/>
        <w:numPr>
          <w:ilvl w:val="0"/>
          <w:numId w:val="99"/>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color w:val="000000"/>
          <w:kern w:val="0"/>
        </w:rPr>
        <w:t>e)</w:t>
      </w:r>
      <w:r>
        <w:rPr>
          <w:rFonts w:cs="Times New Roman" w:ascii="Times New Roman" w:hAnsi="Times New Roman"/>
          <w:color w:val="000000"/>
          <w:kern w:val="0"/>
        </w:rPr>
        <w:t xml:space="preserve"> não manter a proposta, salvo em decorrência de fato superveniente devidamente justificado;</w:t>
      </w:r>
    </w:p>
    <w:p>
      <w:pPr>
        <w:pStyle w:val="ListParagraph"/>
        <w:numPr>
          <w:ilvl w:val="0"/>
          <w:numId w:val="100"/>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color w:val="000000"/>
          <w:kern w:val="0"/>
        </w:rPr>
      </w:pPr>
      <w:r>
        <w:rPr>
          <w:rFonts w:cs="Times New Roman" w:ascii="Times New Roman" w:hAnsi="Times New Roman"/>
          <w:color w:val="000000"/>
          <w:kern w:val="0"/>
        </w:rPr>
      </w:r>
    </w:p>
    <w:p>
      <w:pPr>
        <w:pStyle w:val="ListParagraph"/>
        <w:numPr>
          <w:ilvl w:val="0"/>
          <w:numId w:val="101"/>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color w:val="000000"/>
          <w:kern w:val="0"/>
        </w:rPr>
        <w:t>f)</w:t>
      </w:r>
      <w:r>
        <w:rPr>
          <w:rFonts w:cs="Times New Roman" w:ascii="Times New Roman" w:hAnsi="Times New Roman"/>
          <w:color w:val="000000"/>
          <w:kern w:val="0"/>
        </w:rPr>
        <w:t xml:space="preserve"> não celebrar o contrato ou não entregar a documentação exigida para a contratação, quando convocado dentro do prazo de validade de sua proposta.</w:t>
      </w:r>
    </w:p>
    <w:p>
      <w:pPr>
        <w:pStyle w:val="ListParagraph"/>
        <w:numPr>
          <w:ilvl w:val="0"/>
          <w:numId w:val="102"/>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103"/>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kern w:val="0"/>
        </w:rPr>
        <w:t xml:space="preserve">21.1.4. </w:t>
      </w:r>
      <w:r>
        <w:rPr>
          <w:rFonts w:eastAsia="Arial" w:cs="Times New Roman" w:ascii="Times New Roman" w:hAnsi="Times New Roman"/>
          <w:b/>
          <w:bCs/>
          <w:kern w:val="0"/>
        </w:rPr>
        <w:t>DECLARAÇÃO DE INIDONEIDADE</w:t>
      </w:r>
      <w:r>
        <w:rPr>
          <w:rFonts w:eastAsia="Arial" w:cs="Times New Roman" w:ascii="Times New Roman" w:hAnsi="Times New Roman"/>
          <w:kern w:val="0"/>
        </w:rPr>
        <w:t xml:space="preserve"> </w:t>
      </w:r>
      <w:r>
        <w:rPr>
          <w:rFonts w:cs="Times New Roman" w:ascii="Times New Roman" w:hAnsi="Times New Roman"/>
          <w:b/>
          <w:bCs/>
          <w:kern w:val="0"/>
        </w:rPr>
        <w:t>PARA LICITAR E CONTRATAR</w:t>
      </w:r>
      <w:r>
        <w:rPr>
          <w:rFonts w:cs="Times New Roman" w:ascii="Times New Roman" w:hAnsi="Times New Roman"/>
          <w:kern w:val="0"/>
        </w:rPr>
        <w:t xml:space="preserve"> com a Administração Pública direta e indireta de todos os entes federativos, pelo </w:t>
      </w:r>
      <w:r>
        <w:rPr>
          <w:rFonts w:cs="Times New Roman" w:ascii="Times New Roman" w:hAnsi="Times New Roman"/>
          <w:b/>
          <w:bCs/>
          <w:kern w:val="0"/>
        </w:rPr>
        <w:t>prazo de até 6 (seis) anos</w:t>
      </w:r>
      <w:r>
        <w:rPr>
          <w:rFonts w:cs="Times New Roman" w:ascii="Times New Roman" w:hAnsi="Times New Roman"/>
          <w:kern w:val="0"/>
        </w:rPr>
        <w:t>, bem como demais cominações legais, quando a licitante:</w:t>
      </w:r>
    </w:p>
    <w:p>
      <w:pPr>
        <w:pStyle w:val="ListParagraph"/>
        <w:numPr>
          <w:ilvl w:val="0"/>
          <w:numId w:val="104"/>
        </w:numPr>
        <w:tabs>
          <w:tab w:val="clear" w:pos="720"/>
          <w:tab w:val="left" w:pos="8565" w:leader="none"/>
          <w:tab w:val="left" w:pos="9411" w:leader="none"/>
          <w:tab w:val="left" w:pos="10005" w:leader="none"/>
          <w:tab w:val="left" w:pos="10725" w:leader="none"/>
          <w:tab w:val="left" w:pos="11445" w:leader="none"/>
          <w:tab w:val="left" w:pos="12165" w:leader="none"/>
          <w:tab w:val="left" w:pos="12885" w:leader="none"/>
          <w:tab w:val="left" w:pos="13605" w:leader="none"/>
          <w:tab w:val="left" w:pos="14325" w:leader="none"/>
          <w:tab w:val="left" w:pos="15045" w:leader="none"/>
        </w:tabs>
        <w:ind w:left="73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105"/>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a)</w:t>
      </w:r>
      <w:r>
        <w:rPr>
          <w:rFonts w:cs="Times New Roman" w:ascii="Times New Roman" w:hAnsi="Times New Roman"/>
          <w:kern w:val="0"/>
        </w:rPr>
        <w:t xml:space="preserve"> </w:t>
      </w:r>
      <w:r>
        <w:rPr>
          <w:rFonts w:cs="Times New Roman" w:ascii="Times New Roman" w:hAnsi="Times New Roman"/>
          <w:color w:val="000000"/>
          <w:kern w:val="0"/>
        </w:rPr>
        <w:t>apresentar declaração ou documentação falsa exigida para o cer</w:t>
      </w:r>
      <w:bookmarkStart w:id="4" w:name="_GoBack"/>
      <w:bookmarkEnd w:id="4"/>
      <w:r>
        <w:rPr>
          <w:rFonts w:cs="Times New Roman" w:ascii="Times New Roman" w:hAnsi="Times New Roman"/>
          <w:color w:val="000000"/>
          <w:kern w:val="0"/>
        </w:rPr>
        <w:t>tame ou prestar declaração falsa durante o procedimento ou a execução do contrato;</w:t>
      </w:r>
    </w:p>
    <w:p>
      <w:pPr>
        <w:pStyle w:val="ListParagraph"/>
        <w:numPr>
          <w:ilvl w:val="0"/>
          <w:numId w:val="106"/>
        </w:numPr>
        <w:tabs>
          <w:tab w:val="clear" w:pos="720"/>
          <w:tab w:val="left" w:pos="9245" w:leader="none"/>
          <w:tab w:val="left" w:pos="10091" w:leader="none"/>
          <w:tab w:val="left" w:pos="10685" w:leader="none"/>
          <w:tab w:val="left" w:pos="11405" w:leader="none"/>
          <w:tab w:val="left" w:pos="12125" w:leader="none"/>
          <w:tab w:val="left" w:pos="12845" w:leader="none"/>
          <w:tab w:val="left" w:pos="13565" w:leader="none"/>
          <w:tab w:val="left" w:pos="14285" w:leader="none"/>
          <w:tab w:val="left" w:pos="15005" w:leader="none"/>
          <w:tab w:val="left" w:pos="15725" w:leader="none"/>
        </w:tabs>
        <w:ind w:left="1417"/>
        <w:jc w:val="both"/>
        <w:textAlignment w:val="top"/>
        <w:rPr>
          <w:rFonts w:ascii="Times New Roman" w:hAnsi="Times New Roman" w:cs="Times New Roman"/>
          <w:kern w:val="0"/>
          <w:shd w:fill="E327FF" w:val="clear"/>
        </w:rPr>
      </w:pPr>
      <w:r>
        <w:rPr>
          <w:rFonts w:cs="Times New Roman" w:ascii="Times New Roman" w:hAnsi="Times New Roman"/>
          <w:kern w:val="0"/>
          <w:shd w:fill="E327FF" w:val="clear"/>
        </w:rPr>
      </w:r>
    </w:p>
    <w:p>
      <w:pPr>
        <w:pStyle w:val="ListParagraph"/>
        <w:numPr>
          <w:ilvl w:val="0"/>
          <w:numId w:val="107"/>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b)</w:t>
      </w:r>
      <w:r>
        <w:rPr>
          <w:rFonts w:cs="Times New Roman" w:ascii="Times New Roman" w:hAnsi="Times New Roman"/>
          <w:kern w:val="0"/>
        </w:rPr>
        <w:t xml:space="preserve"> </w:t>
      </w:r>
      <w:r>
        <w:rPr>
          <w:rFonts w:cs="Times New Roman" w:ascii="Times New Roman" w:hAnsi="Times New Roman"/>
          <w:color w:val="000000"/>
          <w:kern w:val="0"/>
        </w:rPr>
        <w:t>fraudar a contratação ou praticar ato fraudulento na execução do contrato;</w:t>
      </w:r>
    </w:p>
    <w:p>
      <w:pPr>
        <w:pStyle w:val="Standard"/>
        <w:numPr>
          <w:ilvl w:val="0"/>
          <w:numId w:val="108"/>
        </w:numPr>
        <w:tabs>
          <w:tab w:val="clear" w:pos="720"/>
          <w:tab w:val="left" w:pos="742" w:leader="none"/>
          <w:tab w:val="left" w:pos="1462" w:leader="none"/>
          <w:tab w:val="left" w:pos="2182" w:leader="none"/>
          <w:tab w:val="left" w:pos="2902" w:leader="none"/>
          <w:tab w:val="left" w:pos="3622" w:leader="none"/>
          <w:tab w:val="left" w:pos="4342" w:leader="none"/>
          <w:tab w:val="left" w:pos="5062" w:leader="none"/>
          <w:tab w:val="left" w:pos="5782" w:leader="none"/>
          <w:tab w:val="left" w:pos="6502" w:leader="none"/>
          <w:tab w:val="left" w:pos="7222" w:leader="none"/>
        </w:tabs>
        <w:ind w:left="454"/>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109"/>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c)</w:t>
      </w:r>
      <w:r>
        <w:rPr>
          <w:rFonts w:cs="Times New Roman" w:ascii="Times New Roman" w:hAnsi="Times New Roman"/>
          <w:kern w:val="0"/>
        </w:rPr>
        <w:t xml:space="preserve"> </w:t>
      </w:r>
      <w:r>
        <w:rPr>
          <w:rFonts w:cs="Times New Roman" w:ascii="Times New Roman" w:hAnsi="Times New Roman"/>
          <w:color w:val="000000"/>
          <w:kern w:val="0"/>
        </w:rPr>
        <w:t>comportar-se de modo inidôneo ou cometer fraude de qualquer natureza;</w:t>
      </w:r>
    </w:p>
    <w:p>
      <w:pPr>
        <w:pStyle w:val="ListParagraph"/>
        <w:numPr>
          <w:ilvl w:val="0"/>
          <w:numId w:val="110"/>
        </w:numPr>
        <w:tabs>
          <w:tab w:val="clear" w:pos="720"/>
          <w:tab w:val="left" w:pos="9245" w:leader="none"/>
          <w:tab w:val="left" w:pos="10091" w:leader="none"/>
          <w:tab w:val="left" w:pos="10685" w:leader="none"/>
          <w:tab w:val="left" w:pos="11405" w:leader="none"/>
          <w:tab w:val="left" w:pos="12125" w:leader="none"/>
          <w:tab w:val="left" w:pos="12845" w:leader="none"/>
          <w:tab w:val="left" w:pos="13565" w:leader="none"/>
          <w:tab w:val="left" w:pos="14285" w:leader="none"/>
          <w:tab w:val="left" w:pos="15005" w:leader="none"/>
          <w:tab w:val="left" w:pos="15725" w:leader="none"/>
        </w:tabs>
        <w:ind w:left="141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111"/>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d)</w:t>
      </w:r>
      <w:r>
        <w:rPr>
          <w:rFonts w:cs="Times New Roman" w:ascii="Times New Roman" w:hAnsi="Times New Roman"/>
          <w:kern w:val="0"/>
        </w:rPr>
        <w:t xml:space="preserve"> </w:t>
      </w:r>
      <w:r>
        <w:rPr>
          <w:rFonts w:cs="Times New Roman" w:ascii="Times New Roman" w:hAnsi="Times New Roman"/>
          <w:color w:val="000000"/>
          <w:kern w:val="0"/>
        </w:rPr>
        <w:t>praticar atos ilícitos com vistas a frustrar os objetivos da contratação;</w:t>
      </w:r>
    </w:p>
    <w:p>
      <w:pPr>
        <w:pStyle w:val="ListParagraph"/>
        <w:numPr>
          <w:ilvl w:val="0"/>
          <w:numId w:val="112"/>
        </w:numPr>
        <w:tabs>
          <w:tab w:val="clear" w:pos="720"/>
          <w:tab w:val="left" w:pos="9245" w:leader="none"/>
          <w:tab w:val="left" w:pos="10091" w:leader="none"/>
          <w:tab w:val="left" w:pos="10685" w:leader="none"/>
          <w:tab w:val="left" w:pos="11405" w:leader="none"/>
          <w:tab w:val="left" w:pos="12125" w:leader="none"/>
          <w:tab w:val="left" w:pos="12845" w:leader="none"/>
          <w:tab w:val="left" w:pos="13565" w:leader="none"/>
          <w:tab w:val="left" w:pos="14285" w:leader="none"/>
          <w:tab w:val="left" w:pos="15005" w:leader="none"/>
          <w:tab w:val="left" w:pos="15725" w:leader="none"/>
        </w:tabs>
        <w:ind w:left="141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113"/>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pPr>
      <w:r>
        <w:rPr>
          <w:rFonts w:cs="Times New Roman" w:ascii="Times New Roman" w:hAnsi="Times New Roman"/>
          <w:b/>
          <w:bCs/>
          <w:kern w:val="0"/>
        </w:rPr>
        <w:t>e)</w:t>
      </w:r>
      <w:r>
        <w:rPr>
          <w:rFonts w:cs="Times New Roman" w:ascii="Times New Roman" w:hAnsi="Times New Roman"/>
          <w:kern w:val="0"/>
        </w:rPr>
        <w:t xml:space="preserve"> </w:t>
      </w:r>
      <w:r>
        <w:rPr>
          <w:rFonts w:cs="Times New Roman" w:ascii="Times New Roman" w:hAnsi="Times New Roman"/>
          <w:color w:val="000000"/>
          <w:kern w:val="0"/>
        </w:rPr>
        <w:t>praticar ato lesivo previsto no art. 5.º da Lei n.º 12.846, de 1.º de agosto de 2013.</w:t>
      </w:r>
    </w:p>
    <w:p>
      <w:pPr>
        <w:pStyle w:val="ListParagraph"/>
        <w:numPr>
          <w:ilvl w:val="0"/>
          <w:numId w:val="114"/>
        </w:numPr>
        <w:tabs>
          <w:tab w:val="clear" w:pos="720"/>
          <w:tab w:val="left" w:pos="8395" w:leader="none"/>
          <w:tab w:val="left" w:pos="9241" w:leader="none"/>
          <w:tab w:val="left" w:pos="9835" w:leader="none"/>
          <w:tab w:val="left" w:pos="10555" w:leader="none"/>
          <w:tab w:val="left" w:pos="11275" w:leader="none"/>
          <w:tab w:val="left" w:pos="11995" w:leader="none"/>
          <w:tab w:val="left" w:pos="12715" w:leader="none"/>
          <w:tab w:val="left" w:pos="13435" w:leader="none"/>
          <w:tab w:val="left" w:pos="14155" w:leader="none"/>
          <w:tab w:val="left" w:pos="14875" w:leader="none"/>
        </w:tabs>
        <w:ind w:left="567"/>
        <w:jc w:val="both"/>
        <w:textAlignment w:val="top"/>
        <w:rPr>
          <w:rFonts w:ascii="Times New Roman" w:hAnsi="Times New Roman" w:cs="Times New Roman"/>
          <w:kern w:val="0"/>
        </w:rPr>
      </w:pPr>
      <w:r>
        <w:rPr>
          <w:rFonts w:cs="Times New Roman" w:ascii="Times New Roman" w:hAnsi="Times New Roman"/>
          <w:kern w:val="0"/>
        </w:rPr>
      </w:r>
    </w:p>
    <w:p>
      <w:pPr>
        <w:pStyle w:val="ListParagraph"/>
        <w:numPr>
          <w:ilvl w:val="0"/>
          <w:numId w:val="115"/>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eastAsia="Arial" w:cs="Times New Roman" w:ascii="Times New Roman" w:hAnsi="Times New Roman"/>
          <w:b/>
          <w:bCs/>
          <w:kern w:val="0"/>
        </w:rPr>
        <w:t>21.</w:t>
      </w:r>
      <w:r>
        <w:rPr>
          <w:rFonts w:eastAsia="Arial" w:cs="Times New Roman" w:ascii="Times New Roman" w:hAnsi="Times New Roman"/>
          <w:b/>
          <w:bCs/>
        </w:rPr>
        <w:t>2.</w:t>
      </w:r>
      <w:r>
        <w:rPr>
          <w:rFonts w:eastAsia="Arial" w:cs="Times New Roman" w:ascii="Times New Roman" w:hAnsi="Times New Roman"/>
          <w:bCs/>
        </w:rPr>
        <w:t xml:space="preserve"> Será facultada </w:t>
      </w:r>
      <w:r>
        <w:rPr>
          <w:rFonts w:eastAsia="Arial" w:cs="Times New Roman" w:ascii="Times New Roman" w:hAnsi="Times New Roman"/>
        </w:rPr>
        <w:t>à</w:t>
      </w:r>
      <w:r>
        <w:rPr>
          <w:rFonts w:eastAsia="Arial-BoldMT" w:cs="Times New Roman" w:ascii="Times New Roman" w:hAnsi="Times New Roman"/>
          <w:kern w:val="0"/>
          <w:lang w:eastAsia="en-US"/>
        </w:rPr>
        <w:t>(s) CONCESSIONÁRIA(s)</w:t>
      </w:r>
      <w:r>
        <w:rPr>
          <w:rFonts w:eastAsia="Arial" w:cs="Times New Roman" w:ascii="Times New Roman" w:hAnsi="Times New Roman"/>
          <w:bCs/>
        </w:rPr>
        <w:t>, nos termos da lei, apresentação de defesa prévia, na ocorrência de quaisquer das situações previstas</w:t>
      </w:r>
      <w:r>
        <w:rPr>
          <w:rFonts w:eastAsia="Arial" w:cs="Times New Roman" w:ascii="Times New Roman" w:hAnsi="Times New Roman"/>
          <w:bCs/>
          <w:shd w:fill="FFFFFF" w:val="clear"/>
        </w:rPr>
        <w:t xml:space="preserve"> neste </w:t>
      </w:r>
      <w:r>
        <w:rPr>
          <w:rFonts w:eastAsia="Arial-BoldMT" w:cs="Times New Roman" w:ascii="Times New Roman" w:hAnsi="Times New Roman"/>
          <w:color w:val="000000"/>
          <w:shd w:fill="FFFFFF" w:val="clear"/>
        </w:rPr>
        <w:t>TERMO DE REFERÊNCIA.</w:t>
      </w:r>
    </w:p>
    <w:p>
      <w:pPr>
        <w:pStyle w:val="Standard"/>
        <w:tabs>
          <w:tab w:val="clear" w:pos="720"/>
          <w:tab w:val="left" w:pos="8752" w:leader="none"/>
        </w:tabs>
        <w:jc w:val="both"/>
        <w:textAlignment w:val="top"/>
        <w:rPr>
          <w:rFonts w:ascii="Times New Roman" w:hAnsi="Times New Roman" w:eastAsia="Arial-BoldMT" w:cs="Times New Roman"/>
          <w:shd w:fill="FFFFFF" w:val="clear"/>
        </w:rPr>
      </w:pPr>
      <w:r>
        <w:rPr>
          <w:rFonts w:eastAsia="Arial-BoldMT" w:cs="Times New Roman" w:ascii="Times New Roman" w:hAnsi="Times New Roman"/>
          <w:shd w:fill="FFFFFF" w:val="clear"/>
        </w:rPr>
      </w:r>
    </w:p>
    <w:p>
      <w:pPr>
        <w:pStyle w:val="Standard"/>
        <w:ind w:left="283"/>
        <w:jc w:val="both"/>
        <w:rPr/>
      </w:pPr>
      <w:r>
        <w:rPr>
          <w:rFonts w:cs="Times New Roman" w:ascii="Times New Roman" w:hAnsi="Times New Roman"/>
          <w:b/>
          <w:bCs/>
          <w:kern w:val="0"/>
        </w:rPr>
        <w:t>21.</w:t>
      </w:r>
      <w:r>
        <w:rPr>
          <w:rFonts w:cs="Times New Roman" w:ascii="Times New Roman" w:hAnsi="Times New Roman"/>
          <w:b/>
          <w:bCs/>
        </w:rPr>
        <w:t xml:space="preserve">2.1. </w:t>
      </w:r>
      <w:r>
        <w:rPr>
          <w:rFonts w:cs="Times New Roman" w:ascii="Times New Roman" w:hAnsi="Times New Roman"/>
        </w:rPr>
        <w:t>a notificação da</w:t>
      </w:r>
      <w:r>
        <w:rPr>
          <w:rFonts w:eastAsia="Arial-BoldMT" w:cs="Times New Roman" w:ascii="Times New Roman" w:hAnsi="Times New Roman"/>
          <w:kern w:val="0"/>
          <w:lang w:eastAsia="en-US"/>
        </w:rPr>
        <w:t>(s) CONCESSIONÁRIA(s)</w:t>
      </w:r>
      <w:r>
        <w:rPr>
          <w:rFonts w:cs="Times New Roman" w:ascii="Times New Roman" w:hAnsi="Times New Roman"/>
        </w:rPr>
        <w:t xml:space="preserve"> pelo titular da Secretaria do Meio Ambiente e Sustentabilidade, para apresentar defesa prévia, querendo, no prazo de 20 (vinte) dias consecutivos a contar do seu recebimento;</w:t>
      </w:r>
    </w:p>
    <w:p>
      <w:pPr>
        <w:pStyle w:val="Standard"/>
        <w:ind w:left="283"/>
        <w:rPr>
          <w:rFonts w:ascii="Times New Roman" w:hAnsi="Times New Roman" w:cs="Times New Roman"/>
        </w:rPr>
      </w:pPr>
      <w:r>
        <w:rPr>
          <w:rFonts w:cs="Times New Roman" w:ascii="Times New Roman" w:hAnsi="Times New Roman"/>
        </w:rPr>
      </w:r>
    </w:p>
    <w:p>
      <w:pPr>
        <w:pStyle w:val="Standard"/>
        <w:ind w:left="283"/>
        <w:jc w:val="both"/>
        <w:rPr/>
      </w:pPr>
      <w:r>
        <w:rPr>
          <w:rFonts w:cs="Times New Roman" w:ascii="Times New Roman" w:hAnsi="Times New Roman"/>
          <w:b/>
          <w:bCs/>
          <w:kern w:val="0"/>
        </w:rPr>
        <w:t>21.</w:t>
      </w:r>
      <w:r>
        <w:rPr>
          <w:rFonts w:cs="Times New Roman" w:ascii="Times New Roman" w:hAnsi="Times New Roman"/>
          <w:b/>
          <w:bCs/>
        </w:rPr>
        <w:t>2.2.</w:t>
      </w:r>
      <w:r>
        <w:rPr>
          <w:rFonts w:cs="Times New Roman" w:ascii="Times New Roman" w:hAnsi="Times New Roman"/>
        </w:rPr>
        <w:t xml:space="preserve"> do indeferimento da defesa prévia caberá recurso ao Prefeito, no prazo de 20 (vinte) dias consecutivos, contados da ciência da decisão pelo correio com aviso de recebimento;</w:t>
      </w:r>
    </w:p>
    <w:p>
      <w:pPr>
        <w:pStyle w:val="Standard"/>
        <w:ind w:left="283"/>
        <w:jc w:val="both"/>
        <w:rPr>
          <w:rFonts w:ascii="Times New Roman" w:hAnsi="Times New Roman" w:cs="Times New Roman"/>
        </w:rPr>
      </w:pPr>
      <w:r>
        <w:rPr>
          <w:rFonts w:cs="Times New Roman" w:ascii="Times New Roman" w:hAnsi="Times New Roman"/>
        </w:rPr>
      </w:r>
    </w:p>
    <w:p>
      <w:pPr>
        <w:pStyle w:val="Standard"/>
        <w:tabs>
          <w:tab w:val="clear" w:pos="720"/>
          <w:tab w:val="left" w:pos="9035" w:leader="none"/>
        </w:tabs>
        <w:ind w:left="283"/>
        <w:jc w:val="both"/>
        <w:textAlignment w:val="top"/>
        <w:rPr/>
      </w:pPr>
      <w:r>
        <w:rPr>
          <w:rFonts w:eastAsia="Arial-BoldMT" w:cs="Times New Roman" w:ascii="Times New Roman" w:hAnsi="Times New Roman"/>
          <w:b/>
          <w:bCs/>
          <w:shd w:fill="FFFFFF" w:val="clear"/>
        </w:rPr>
        <w:t xml:space="preserve">21.2.3. </w:t>
      </w:r>
      <w:r>
        <w:rPr>
          <w:rFonts w:eastAsia="Arial-BoldMT" w:cs="Times New Roman" w:ascii="Times New Roman" w:hAnsi="Times New Roman"/>
          <w:shd w:fill="FFFFFF" w:val="clear"/>
        </w:rPr>
        <w:t>a decisão prolatada deverá ser justificada, referindo-se e dimensionando a gravidade da infração, circunstâncias agravantes ou atenuantes, se existirem, bem como os antecedentes do infrator com relação a esta lei e as disposições do contrato.</w:t>
      </w:r>
    </w:p>
    <w:p>
      <w:pPr>
        <w:pStyle w:val="Standard"/>
        <w:tabs>
          <w:tab w:val="clear" w:pos="720"/>
          <w:tab w:val="left" w:pos="8752" w:leader="none"/>
        </w:tabs>
        <w:jc w:val="both"/>
        <w:textAlignment w:val="top"/>
        <w:rPr>
          <w:rFonts w:ascii="Times New Roman" w:hAnsi="Times New Roman" w:eastAsia="Arial-BoldMT" w:cs="Times New Roman"/>
          <w:shd w:fill="FFFFFF" w:val="clear"/>
        </w:rPr>
      </w:pPr>
      <w:r>
        <w:rPr>
          <w:rFonts w:eastAsia="Arial-BoldMT" w:cs="Times New Roman" w:ascii="Times New Roman" w:hAnsi="Times New Roman"/>
          <w:shd w:fill="FFFFFF" w:val="clear"/>
        </w:rPr>
      </w:r>
    </w:p>
    <w:p>
      <w:pPr>
        <w:pStyle w:val="Standard"/>
        <w:numPr>
          <w:ilvl w:val="0"/>
          <w:numId w:val="116"/>
        </w:numPr>
        <w:tabs>
          <w:tab w:val="clear" w:pos="720"/>
          <w:tab w:val="left" w:pos="8752" w:leader="none"/>
        </w:tabs>
        <w:jc w:val="both"/>
        <w:textAlignment w:val="top"/>
        <w:rPr/>
      </w:pPr>
      <w:r>
        <w:rPr>
          <w:rFonts w:eastAsia="Arial" w:cs="Times New Roman" w:ascii="Times New Roman" w:hAnsi="Times New Roman"/>
          <w:b/>
          <w:bCs/>
          <w:kern w:val="0"/>
        </w:rPr>
        <w:t>21.</w:t>
      </w:r>
      <w:r>
        <w:rPr>
          <w:rFonts w:eastAsia="Arial" w:cs="Times New Roman" w:ascii="Times New Roman" w:hAnsi="Times New Roman"/>
          <w:b/>
          <w:bCs/>
        </w:rPr>
        <w:t>3. As multas e seu pagamento não eximirão a</w:t>
      </w:r>
      <w:r>
        <w:rPr>
          <w:rFonts w:eastAsia="Arial-BoldMT" w:cs="Times New Roman" w:ascii="Times New Roman" w:hAnsi="Times New Roman"/>
          <w:kern w:val="0"/>
          <w:lang w:eastAsia="en-US"/>
        </w:rPr>
        <w:t>(s) CONCESSIONÁRIA(s)</w:t>
      </w:r>
      <w:r>
        <w:rPr>
          <w:rFonts w:eastAsia="Arial" w:cs="Times New Roman" w:ascii="Times New Roman" w:hAnsi="Times New Roman"/>
          <w:b/>
          <w:bCs/>
        </w:rPr>
        <w:t xml:space="preserve"> de ser(em) acionada(s) judicialmente pela responsabilidade civil derivada de perdas e danos, decorrentes das infrações cometidas.</w:t>
      </w:r>
    </w:p>
    <w:p>
      <w:pPr>
        <w:pStyle w:val="Standard"/>
        <w:numPr>
          <w:ilvl w:val="0"/>
          <w:numId w:val="117"/>
        </w:numPr>
        <w:tabs>
          <w:tab w:val="clear" w:pos="720"/>
          <w:tab w:val="left" w:pos="8752" w:leader="none"/>
        </w:tabs>
        <w:jc w:val="both"/>
        <w:textAlignment w:val="top"/>
        <w:rPr>
          <w:rFonts w:ascii="Times New Roman" w:hAnsi="Times New Roman" w:eastAsia="Arial" w:cs="Times New Roman"/>
          <w:b/>
          <w:bCs/>
        </w:rPr>
      </w:pPr>
      <w:r>
        <w:rPr>
          <w:rFonts w:eastAsia="Arial" w:cs="Times New Roman" w:ascii="Times New Roman" w:hAnsi="Times New Roman"/>
          <w:b/>
          <w:bCs/>
        </w:rPr>
      </w:r>
    </w:p>
    <w:p>
      <w:pPr>
        <w:pStyle w:val="Standard"/>
        <w:numPr>
          <w:ilvl w:val="0"/>
          <w:numId w:val="118"/>
        </w:numPr>
        <w:tabs>
          <w:tab w:val="clear" w:pos="720"/>
          <w:tab w:val="left" w:pos="8752" w:leader="none"/>
        </w:tabs>
        <w:jc w:val="both"/>
        <w:textAlignment w:val="top"/>
        <w:rPr/>
      </w:pPr>
      <w:r>
        <w:rPr>
          <w:rFonts w:eastAsia="Arial" w:cs="Times New Roman" w:ascii="Times New Roman" w:hAnsi="Times New Roman"/>
          <w:b/>
          <w:bCs/>
          <w:kern w:val="0"/>
        </w:rPr>
        <w:t>21.</w:t>
      </w:r>
      <w:r>
        <w:rPr>
          <w:rFonts w:eastAsia="Arial" w:cs="Times New Roman" w:ascii="Times New Roman" w:hAnsi="Times New Roman"/>
          <w:b/>
          <w:bCs/>
        </w:rPr>
        <w:t>4.</w:t>
      </w:r>
      <w:r>
        <w:rPr>
          <w:rFonts w:eastAsia="Arial" w:cs="Times New Roman" w:ascii="Times New Roman" w:hAnsi="Times New Roman"/>
        </w:rPr>
        <w:t xml:space="preserve"> </w:t>
      </w:r>
      <w:r>
        <w:rPr>
          <w:rStyle w:val="StrongEmphasis"/>
          <w:rFonts w:eastAsia="Arial" w:cs="Times New Roman" w:ascii="Times New Roman" w:hAnsi="Times New Roman"/>
          <w:b w:val="false"/>
          <w:bCs w:val="false"/>
        </w:rPr>
        <w:t>Caso a multa não seja quitada em até 15 (quinze) dias contados da emissão da DARM, estará sujeita à atualização monetária com base no Índice Nacional de Preços ao Consumidor Amplo (IPCA), ou outro índice que vier a sucedê-lo, e juros de mora.</w:t>
      </w:r>
      <w:r>
        <w:rPr>
          <w:rFonts w:cs="Times New Roman" w:ascii="Times New Roman" w:hAnsi="Times New Roman"/>
          <w:shd w:fill="FFFF00" w:val="clear"/>
        </w:rPr>
        <w:t xml:space="preserve"> </w:t>
      </w:r>
    </w:p>
    <w:p>
      <w:pPr>
        <w:pStyle w:val="Standard"/>
        <w:numPr>
          <w:ilvl w:val="0"/>
          <w:numId w:val="119"/>
        </w:numPr>
        <w:tabs>
          <w:tab w:val="clear" w:pos="720"/>
          <w:tab w:val="left" w:pos="8752" w:leader="none"/>
        </w:tabs>
        <w:jc w:val="both"/>
        <w:textAlignment w:val="top"/>
        <w:rPr>
          <w:rFonts w:ascii="Times New Roman" w:hAnsi="Times New Roman" w:cs="Times New Roman"/>
          <w:shd w:fill="FFFF00" w:val="clear"/>
        </w:rPr>
      </w:pPr>
      <w:r>
        <w:rPr>
          <w:rFonts w:cs="Times New Roman" w:ascii="Times New Roman" w:hAnsi="Times New Roman"/>
          <w:shd w:fill="FFFF00" w:val="clear"/>
        </w:rPr>
      </w:r>
    </w:p>
    <w:p>
      <w:pPr>
        <w:pStyle w:val="Default"/>
        <w:jc w:val="both"/>
        <w:rPr/>
      </w:pPr>
      <w:r>
        <w:rPr>
          <w:b/>
          <w:color w:val="auto"/>
        </w:rPr>
        <w:t xml:space="preserve">21.7. </w:t>
      </w:r>
      <w:r>
        <w:rPr>
          <w:color w:val="auto"/>
        </w:rPr>
        <w:t>A</w:t>
      </w:r>
      <w:r>
        <w:rPr>
          <w:rFonts w:eastAsia="Arial-BoldMT"/>
          <w:color w:val="auto"/>
          <w:kern w:val="0"/>
          <w:lang w:eastAsia="en-US"/>
        </w:rPr>
        <w:t>(s) CONCESSIONÁRIA(s)</w:t>
      </w:r>
      <w:r>
        <w:rPr>
          <w:color w:val="auto"/>
        </w:rPr>
        <w:t xml:space="preserve"> que recusarem-se a assinar o contrato ou não devolvê-lo devidamente assinado, ficará suspensa de participar de qualquer processo licitatório realizado pelo CONCEDENTE, pelo período de 02 (dois) anos da data da notificação, e sujeita a aplicação de uma multa duas vezes o valor da outorga, sem prejuízo de outras sanções previstas na Lei de Licitações.</w:t>
      </w:r>
    </w:p>
    <w:p>
      <w:pPr>
        <w:pStyle w:val="Default"/>
        <w:jc w:val="both"/>
        <w:rPr>
          <w:color w:val="auto"/>
        </w:rPr>
      </w:pPr>
      <w:r>
        <w:rPr>
          <w:color w:val="auto"/>
        </w:rPr>
      </w:r>
    </w:p>
    <w:p>
      <w:pPr>
        <w:pStyle w:val="Default"/>
        <w:jc w:val="both"/>
        <w:rPr/>
      </w:pPr>
      <w:r>
        <w:rPr>
          <w:b/>
          <w:color w:val="auto"/>
        </w:rPr>
        <w:t xml:space="preserve">21.8. </w:t>
      </w:r>
      <w:r>
        <w:rPr>
          <w:color w:val="auto"/>
        </w:rPr>
        <w:t>Quando o prejuízo causado pela</w:t>
      </w:r>
      <w:r>
        <w:rPr>
          <w:rFonts w:eastAsia="Arial-BoldMT"/>
          <w:color w:val="auto"/>
          <w:kern w:val="0"/>
          <w:lang w:eastAsia="en-US"/>
        </w:rPr>
        <w:t>(s) CONCESSIONÁRIA(s)</w:t>
      </w:r>
      <w:r>
        <w:rPr>
          <w:color w:val="auto"/>
        </w:rPr>
        <w:t xml:space="preserve"> exceder ao previsto na cláusula penal, poderá a Administração exigir indenização suplementar, valendo a cláusula penal como mínimo da indenização, nos termos do Código Civil.</w:t>
      </w:r>
    </w:p>
    <w:p>
      <w:pPr>
        <w:pStyle w:val="Default"/>
        <w:jc w:val="both"/>
        <w:rPr>
          <w:color w:val="auto"/>
        </w:rPr>
      </w:pPr>
      <w:r>
        <w:rPr>
          <w:color w:val="auto"/>
        </w:rPr>
      </w:r>
    </w:p>
    <w:p>
      <w:pPr>
        <w:pStyle w:val="Default"/>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eastAsia="Arial"/>
          <w:b/>
          <w:bCs/>
          <w:color w:val="auto"/>
          <w:kern w:val="0"/>
        </w:rPr>
        <w:t xml:space="preserve">21.9. </w:t>
      </w:r>
      <w:r>
        <w:rPr>
          <w:rFonts w:eastAsia="Arial"/>
          <w:bCs/>
          <w:color w:val="auto"/>
          <w:kern w:val="0"/>
        </w:rPr>
        <w:t>A personalidade jurídica da</w:t>
      </w:r>
      <w:r>
        <w:rPr>
          <w:rFonts w:eastAsia="Arial-BoldMT"/>
          <w:color w:val="auto"/>
          <w:kern w:val="0"/>
          <w:lang w:eastAsia="en-US"/>
        </w:rPr>
        <w:t>(s) CONCESSIONÁRIA(s)</w:t>
      </w:r>
      <w:r>
        <w:rPr>
          <w:rFonts w:eastAsia="Arial"/>
          <w:bCs/>
          <w:color w:val="auto"/>
          <w:kern w:val="0"/>
        </w:rPr>
        <w:t xml:space="preserve"> poderá ser desconsiderada sempre que utilizada com abuso de direito para facilitar, encobrir ou dissimular a prática de atos ilícitos previstos na Lei Federal nº 12.846/2013, ou para provocar confusão patrimonial, sendo estendidos todos os efeitos das sanções aplicadas à pessoa jurídica aos seus administradores e sócios com poderes de administração, observados o contraditório e ampla defesa.</w:t>
      </w:r>
    </w:p>
    <w:p>
      <w:pPr>
        <w:pStyle w:val="ListParagraph"/>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eastAsia="Arial" w:cs="Times New Roman"/>
          <w:b/>
          <w:bCs/>
          <w:kern w:val="0"/>
        </w:rPr>
      </w:pPr>
      <w:r>
        <w:rPr>
          <w:rFonts w:eastAsia="Arial" w:cs="Times New Roman" w:ascii="Times New Roman" w:hAnsi="Times New Roman"/>
          <w:b/>
          <w:bCs/>
          <w:kern w:val="0"/>
        </w:rPr>
      </w:r>
    </w:p>
    <w:p>
      <w:pPr>
        <w:pStyle w:val="Default"/>
        <w:jc w:val="both"/>
        <w:rPr/>
      </w:pPr>
      <w:r>
        <w:rPr>
          <w:rFonts w:eastAsia="Arial"/>
          <w:b/>
          <w:bCs/>
          <w:color w:val="auto"/>
          <w:kern w:val="0"/>
        </w:rPr>
        <w:t>22.</w:t>
      </w:r>
      <w:r>
        <w:rPr>
          <w:b/>
        </w:rPr>
        <w:t xml:space="preserve"> DA RESCISÃO, INTERVENÇÃO, REVOGAÇÃO E EXTINÇÃO DA CONCESSÃO</w:t>
      </w:r>
    </w:p>
    <w:p>
      <w:pPr>
        <w:pStyle w:val="Default"/>
        <w:jc w:val="both"/>
        <w:rPr>
          <w:b/>
        </w:rPr>
      </w:pPr>
      <w:r>
        <w:rPr>
          <w:b/>
        </w:rPr>
      </w:r>
    </w:p>
    <w:p>
      <w:pPr>
        <w:pStyle w:val="Default"/>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eastAsia="Arial"/>
          <w:b/>
          <w:bCs/>
          <w:color w:val="auto"/>
          <w:kern w:val="0"/>
        </w:rPr>
        <w:t xml:space="preserve">22.1. </w:t>
      </w:r>
      <w:r>
        <w:rPr>
          <w:rFonts w:eastAsia="Arial"/>
          <w:bCs/>
          <w:color w:val="auto"/>
          <w:kern w:val="0"/>
        </w:rPr>
        <w:t>Aplicam-se todas as disposições previstas na Lei Federal nº 8.987/95, quanto ao encerramento do contrato de concessão, rescisão, extinção ou intervenção dos serviços prestados.</w:t>
      </w:r>
    </w:p>
    <w:p>
      <w:pPr>
        <w:pStyle w:val="ListParagraph"/>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rFonts w:ascii="Times New Roman" w:hAnsi="Times New Roman" w:eastAsia="Arial" w:cs="Times New Roman"/>
          <w:b/>
          <w:bCs/>
          <w:kern w:val="0"/>
        </w:rPr>
      </w:pPr>
      <w:r>
        <w:rPr>
          <w:rFonts w:eastAsia="Arial" w:cs="Times New Roman" w:ascii="Times New Roman" w:hAnsi="Times New Roman"/>
          <w:b/>
          <w:bCs/>
          <w:kern w:val="0"/>
        </w:rPr>
      </w:r>
    </w:p>
    <w:p>
      <w:pPr>
        <w:pStyle w:val="ListParagraph"/>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eastAsia="Arial" w:cs="Times New Roman" w:ascii="Times New Roman" w:hAnsi="Times New Roman"/>
          <w:b/>
          <w:bCs/>
          <w:kern w:val="0"/>
        </w:rPr>
        <w:t xml:space="preserve">22.2. </w:t>
      </w:r>
      <w:r>
        <w:rPr>
          <w:rFonts w:cs="Times New Roman" w:ascii="Times New Roman" w:hAnsi="Times New Roman"/>
        </w:rPr>
        <w:t xml:space="preserve">Independentemente das penalidades pecuniárias impostas </w:t>
      </w:r>
      <w:r>
        <w:rPr>
          <w:rFonts w:eastAsia="Arial" w:cs="Times New Roman" w:ascii="Times New Roman" w:hAnsi="Times New Roman"/>
        </w:rPr>
        <w:t>à(s) CONCESSIONÁRIA(s)</w:t>
      </w:r>
      <w:r>
        <w:rPr>
          <w:rFonts w:cs="Times New Roman" w:ascii="Times New Roman" w:hAnsi="Times New Roman"/>
        </w:rPr>
        <w:t xml:space="preserve">, a concessão poderá ser revogada a qualquer tempo, sem qualquer indenização, além das hipóteses previstas na Lei Complementar n.º 670, de 16 de dezembro de 2021, caso </w:t>
      </w:r>
      <w:r>
        <w:rPr>
          <w:rFonts w:eastAsia="Arial" w:cs="Times New Roman" w:ascii="Times New Roman" w:hAnsi="Times New Roman"/>
        </w:rPr>
        <w:t>à(s) CONCESSIONÁRIA(s)</w:t>
      </w:r>
      <w:r>
        <w:rPr>
          <w:rFonts w:cs="Times New Roman" w:ascii="Times New Roman" w:hAnsi="Times New Roman"/>
        </w:rPr>
        <w:t xml:space="preserve"> incorra(m) nas seguintes situações:</w:t>
      </w:r>
    </w:p>
    <w:p>
      <w:pPr>
        <w:pStyle w:val="ListParagraph"/>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rFonts w:ascii="Times New Roman" w:hAnsi="Times New Roman" w:cs="Times New Roman"/>
        </w:rPr>
      </w:pPr>
      <w:r>
        <w:rPr>
          <w:rFonts w:cs="Times New Roman" w:ascii="Times New Roman" w:hAnsi="Times New Roman"/>
        </w:rPr>
      </w:r>
    </w:p>
    <w:p>
      <w:pPr>
        <w:pStyle w:val="Standard"/>
        <w:numPr>
          <w:ilvl w:val="0"/>
          <w:numId w:val="120"/>
        </w:numPr>
        <w:ind w:left="283"/>
        <w:rPr/>
      </w:pPr>
      <w:r>
        <w:rPr>
          <w:rFonts w:cs="Times New Roman" w:ascii="Times New Roman" w:hAnsi="Times New Roman"/>
          <w:b/>
          <w:bCs/>
        </w:rPr>
        <w:t>a)</w:t>
      </w:r>
      <w:r>
        <w:rPr>
          <w:rFonts w:cs="Times New Roman" w:ascii="Times New Roman" w:hAnsi="Times New Roman"/>
        </w:rPr>
        <w:t xml:space="preserve"> perda da capacidade financeira, técnica ou administrativa;</w:t>
      </w:r>
    </w:p>
    <w:p>
      <w:pPr>
        <w:pStyle w:val="Standard"/>
        <w:numPr>
          <w:ilvl w:val="0"/>
          <w:numId w:val="121"/>
        </w:numPr>
        <w:ind w:left="283"/>
        <w:rPr>
          <w:rFonts w:ascii="Times New Roman" w:hAnsi="Times New Roman" w:cs="Times New Roman"/>
        </w:rPr>
      </w:pPr>
      <w:r>
        <w:rPr>
          <w:rFonts w:cs="Times New Roman" w:ascii="Times New Roman" w:hAnsi="Times New Roman"/>
        </w:rPr>
      </w:r>
    </w:p>
    <w:p>
      <w:pPr>
        <w:pStyle w:val="Standard"/>
        <w:numPr>
          <w:ilvl w:val="0"/>
          <w:numId w:val="122"/>
        </w:numPr>
        <w:ind w:left="283"/>
        <w:rPr/>
      </w:pPr>
      <w:r>
        <w:rPr>
          <w:rFonts w:cs="Times New Roman" w:ascii="Times New Roman" w:hAnsi="Times New Roman"/>
          <w:b/>
          <w:bCs/>
        </w:rPr>
        <w:t>b)</w:t>
      </w:r>
      <w:r>
        <w:rPr>
          <w:rFonts w:cs="Times New Roman" w:ascii="Times New Roman" w:hAnsi="Times New Roman"/>
        </w:rPr>
        <w:t xml:space="preserve"> paralisação dos serviços objeto da concessão;</w:t>
      </w:r>
    </w:p>
    <w:p>
      <w:pPr>
        <w:pStyle w:val="Standard"/>
        <w:numPr>
          <w:ilvl w:val="0"/>
          <w:numId w:val="123"/>
        </w:numPr>
        <w:ind w:left="283"/>
        <w:rPr>
          <w:rFonts w:ascii="Times New Roman" w:hAnsi="Times New Roman" w:cs="Times New Roman"/>
        </w:rPr>
      </w:pPr>
      <w:r>
        <w:rPr>
          <w:rFonts w:cs="Times New Roman" w:ascii="Times New Roman" w:hAnsi="Times New Roman"/>
        </w:rPr>
      </w:r>
    </w:p>
    <w:p>
      <w:pPr>
        <w:pStyle w:val="Standard"/>
        <w:numPr>
          <w:ilvl w:val="0"/>
          <w:numId w:val="124"/>
        </w:numPr>
        <w:ind w:left="283"/>
        <w:jc w:val="both"/>
        <w:rPr/>
      </w:pPr>
      <w:r>
        <w:rPr>
          <w:rFonts w:cs="Times New Roman" w:ascii="Times New Roman" w:hAnsi="Times New Roman"/>
          <w:b/>
          <w:bCs/>
        </w:rPr>
        <w:t xml:space="preserve">c) </w:t>
      </w:r>
      <w:r>
        <w:rPr>
          <w:rFonts w:cs="Times New Roman" w:ascii="Times New Roman" w:hAnsi="Times New Roman"/>
        </w:rPr>
        <w:t>subcontratação, ressalvados os casos permitidos neste TERMO DE REFERÊNCIA, ou transferência da concessão a terceiros;</w:t>
      </w:r>
    </w:p>
    <w:p>
      <w:pPr>
        <w:pStyle w:val="Standard"/>
        <w:numPr>
          <w:ilvl w:val="0"/>
          <w:numId w:val="125"/>
        </w:numPr>
        <w:ind w:left="283"/>
        <w:rPr>
          <w:rFonts w:ascii="Times New Roman" w:hAnsi="Times New Roman" w:cs="Times New Roman"/>
        </w:rPr>
      </w:pPr>
      <w:r>
        <w:rPr>
          <w:rFonts w:cs="Times New Roman" w:ascii="Times New Roman" w:hAnsi="Times New Roman"/>
        </w:rPr>
      </w:r>
    </w:p>
    <w:p>
      <w:pPr>
        <w:pStyle w:val="Standard"/>
        <w:numPr>
          <w:ilvl w:val="0"/>
          <w:numId w:val="126"/>
        </w:numPr>
        <w:tabs>
          <w:tab w:val="clear" w:pos="720"/>
          <w:tab w:val="left" w:pos="8111" w:leader="none"/>
          <w:tab w:val="left" w:pos="895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283"/>
        <w:jc w:val="both"/>
        <w:textAlignment w:val="top"/>
        <w:rPr/>
      </w:pPr>
      <w:r>
        <w:rPr>
          <w:rFonts w:cs="Times New Roman" w:ascii="Times New Roman" w:hAnsi="Times New Roman"/>
          <w:b/>
          <w:bCs/>
        </w:rPr>
        <w:t xml:space="preserve">d) </w:t>
      </w:r>
      <w:r>
        <w:rPr>
          <w:rFonts w:cs="Times New Roman" w:ascii="Times New Roman" w:hAnsi="Times New Roman"/>
        </w:rPr>
        <w:t>descumprimento contumaz de qualquer cláusula do contrato e da Lei Complementar n.º 670, de 16 de dezembro de 2021;</w:t>
      </w:r>
    </w:p>
    <w:p>
      <w:pPr>
        <w:pStyle w:val="ListParagraph"/>
        <w:numPr>
          <w:ilvl w:val="0"/>
          <w:numId w:val="127"/>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rFonts w:ascii="Times New Roman" w:hAnsi="Times New Roman" w:cs="Times New Roman"/>
          <w:b/>
          <w:bCs/>
          <w:color w:val="FF0000"/>
        </w:rPr>
      </w:pPr>
      <w:r>
        <w:rPr>
          <w:rFonts w:cs="Times New Roman" w:ascii="Times New Roman" w:hAnsi="Times New Roman"/>
          <w:b/>
          <w:bCs/>
          <w:color w:val="FF0000"/>
        </w:rPr>
      </w:r>
    </w:p>
    <w:p>
      <w:pPr>
        <w:pStyle w:val="Default"/>
        <w:ind w:left="283"/>
        <w:jc w:val="both"/>
        <w:rPr/>
      </w:pPr>
      <w:r>
        <w:rPr>
          <w:b/>
          <w:bCs/>
          <w:color w:val="auto"/>
        </w:rPr>
        <w:t xml:space="preserve">e) </w:t>
      </w:r>
      <w:r>
        <w:rPr>
          <w:color w:val="auto"/>
        </w:rPr>
        <w:t>pela rescisão consensual ou judicial, ou por iniciativa unilateral do Poder Público Municipal;</w:t>
      </w:r>
    </w:p>
    <w:p>
      <w:pPr>
        <w:pStyle w:val="Default"/>
        <w:ind w:left="283"/>
        <w:jc w:val="both"/>
        <w:rPr>
          <w:color w:val="FF0000"/>
          <w:shd w:fill="FFFF00" w:val="clear"/>
        </w:rPr>
      </w:pPr>
      <w:r>
        <w:rPr>
          <w:color w:val="FF0000"/>
          <w:shd w:fill="FFFF00" w:val="clear"/>
        </w:rPr>
      </w:r>
    </w:p>
    <w:p>
      <w:pPr>
        <w:pStyle w:val="Default"/>
        <w:ind w:left="283"/>
        <w:jc w:val="both"/>
        <w:rPr/>
      </w:pPr>
      <w:r>
        <w:rPr>
          <w:b/>
          <w:bCs/>
          <w:color w:val="auto"/>
        </w:rPr>
        <w:t xml:space="preserve">f) </w:t>
      </w:r>
      <w:r>
        <w:rPr>
          <w:color w:val="auto"/>
        </w:rPr>
        <w:t>pela interrupção do serviço por mais de 02 (dois) dias consecutivos, salvo motivo de força maior, devidamente comprovado e aprovado pelo Poder Público Municipal;</w:t>
      </w:r>
    </w:p>
    <w:p>
      <w:pPr>
        <w:pStyle w:val="Default"/>
        <w:ind w:left="283"/>
        <w:jc w:val="both"/>
        <w:rPr>
          <w:color w:val="auto"/>
        </w:rPr>
      </w:pPr>
      <w:r>
        <w:rPr>
          <w:color w:val="auto"/>
        </w:rPr>
      </w:r>
    </w:p>
    <w:p>
      <w:pPr>
        <w:pStyle w:val="Default"/>
        <w:ind w:left="283"/>
        <w:jc w:val="both"/>
        <w:rPr/>
      </w:pPr>
      <w:r>
        <w:rPr>
          <w:b/>
          <w:bCs/>
          <w:color w:val="auto"/>
        </w:rPr>
        <w:t>g)</w:t>
      </w:r>
      <w:r>
        <w:rPr>
          <w:color w:val="auto"/>
        </w:rPr>
        <w:t xml:space="preserve"> irregularidade sistemática na prestação do serviço quando da existência de notificações e autos de infração sem a adoção de medidas corretivas;</w:t>
      </w:r>
    </w:p>
    <w:p>
      <w:pPr>
        <w:pStyle w:val="Default"/>
        <w:ind w:left="283"/>
        <w:jc w:val="both"/>
        <w:rPr>
          <w:color w:val="auto"/>
        </w:rPr>
      </w:pPr>
      <w:r>
        <w:rPr>
          <w:color w:val="auto"/>
        </w:rPr>
      </w:r>
    </w:p>
    <w:p>
      <w:pPr>
        <w:pStyle w:val="Default"/>
        <w:ind w:left="283"/>
        <w:jc w:val="both"/>
        <w:rPr/>
      </w:pPr>
      <w:r>
        <w:rPr>
          <w:b/>
          <w:bCs/>
          <w:color w:val="auto"/>
        </w:rPr>
        <w:t xml:space="preserve">h) </w:t>
      </w:r>
      <w:r>
        <w:rPr>
          <w:color w:val="auto"/>
        </w:rPr>
        <w:t>pela reiterada desobediência à legislação e regulamentos pertinentes a prestação do serviço;</w:t>
      </w:r>
    </w:p>
    <w:p>
      <w:pPr>
        <w:pStyle w:val="Default"/>
        <w:ind w:left="283"/>
        <w:jc w:val="both"/>
        <w:rPr>
          <w:color w:val="auto"/>
        </w:rPr>
      </w:pPr>
      <w:r>
        <w:rPr>
          <w:color w:val="auto"/>
        </w:rPr>
      </w:r>
    </w:p>
    <w:p>
      <w:pPr>
        <w:pStyle w:val="Default"/>
        <w:ind w:left="283"/>
        <w:jc w:val="both"/>
        <w:rPr/>
      </w:pPr>
      <w:r>
        <w:rPr>
          <w:b/>
          <w:bCs/>
          <w:color w:val="auto"/>
        </w:rPr>
        <w:t xml:space="preserve">i) </w:t>
      </w:r>
      <w:r>
        <w:rPr>
          <w:color w:val="auto"/>
        </w:rPr>
        <w:t>pelo cometimento de fraudes ou irregularidades devidamente comprovadas em processo de sindicância;</w:t>
      </w:r>
    </w:p>
    <w:p>
      <w:pPr>
        <w:pStyle w:val="Default"/>
        <w:ind w:left="283"/>
        <w:jc w:val="both"/>
        <w:rPr>
          <w:color w:val="auto"/>
        </w:rPr>
      </w:pPr>
      <w:r>
        <w:rPr>
          <w:color w:val="auto"/>
        </w:rPr>
      </w:r>
    </w:p>
    <w:p>
      <w:pPr>
        <w:pStyle w:val="Default"/>
        <w:ind w:left="283"/>
        <w:jc w:val="both"/>
        <w:rPr/>
      </w:pPr>
      <w:r>
        <w:rPr>
          <w:b/>
          <w:bCs/>
          <w:color w:val="auto"/>
        </w:rPr>
        <w:t>j)</w:t>
      </w:r>
      <w:r>
        <w:rPr>
          <w:color w:val="auto"/>
        </w:rPr>
        <w:t xml:space="preserve"> a captação direta ou indireta de clientes fora das dependências da empresa funerária por meio de oferta, venda, indução ou intermediação mediante assédio, constrangimento ou abordagem dos familiares do falecido; e</w:t>
      </w:r>
    </w:p>
    <w:p>
      <w:pPr>
        <w:pStyle w:val="Default"/>
        <w:ind w:left="283"/>
        <w:jc w:val="both"/>
        <w:rPr>
          <w:color w:val="auto"/>
        </w:rPr>
      </w:pPr>
      <w:r>
        <w:rPr>
          <w:color w:val="auto"/>
        </w:rPr>
      </w:r>
    </w:p>
    <w:p>
      <w:pPr>
        <w:pStyle w:val="Default"/>
        <w:ind w:left="283"/>
        <w:jc w:val="both"/>
        <w:rPr/>
      </w:pPr>
      <w:r>
        <w:rPr>
          <w:b/>
          <w:bCs/>
          <w:color w:val="auto"/>
        </w:rPr>
        <w:t>k)</w:t>
      </w:r>
      <w:r>
        <w:rPr>
          <w:color w:val="auto"/>
        </w:rPr>
        <w:t xml:space="preserve"> realizar os serviços funerários sem a prévia autorização do CONCEDENTE.</w:t>
      </w:r>
    </w:p>
    <w:p>
      <w:pPr>
        <w:pStyle w:val="Default"/>
        <w:jc w:val="both"/>
        <w:rPr>
          <w:b/>
        </w:rPr>
      </w:pPr>
      <w:r>
        <w:rPr>
          <w:b/>
        </w:rPr>
      </w:r>
    </w:p>
    <w:p>
      <w:pPr>
        <w:pStyle w:val="Default"/>
        <w:jc w:val="both"/>
        <w:rPr/>
      </w:pPr>
      <w:r>
        <w:rPr>
          <w:b/>
        </w:rPr>
        <w:t xml:space="preserve">22.3. </w:t>
      </w:r>
      <w:r>
        <w:rPr/>
        <w:t>O falseamento ou omissão de informações prestadas ao órgão municipal competente configura crime de falsidade ideológica, sujeitando o seu autor às sanções penais devidas, sem prejuízo de outras de natureza diversa.</w:t>
      </w:r>
    </w:p>
    <w:p>
      <w:pPr>
        <w:pStyle w:val="Standard"/>
        <w:jc w:val="both"/>
        <w:rPr>
          <w:rFonts w:ascii="Times New Roman" w:hAnsi="Times New Roman" w:cs="Times New Roman"/>
          <w:b/>
        </w:rPr>
      </w:pPr>
      <w:r>
        <w:rPr>
          <w:rFonts w:cs="Times New Roman" w:ascii="Times New Roman" w:hAnsi="Times New Roman"/>
          <w:b/>
        </w:rPr>
      </w:r>
    </w:p>
    <w:p>
      <w:pPr>
        <w:pStyle w:val="Standard"/>
        <w:jc w:val="both"/>
        <w:rPr/>
      </w:pPr>
      <w:r>
        <w:rPr>
          <w:rFonts w:cs="Times New Roman" w:ascii="Times New Roman" w:hAnsi="Times New Roman"/>
          <w:b/>
        </w:rPr>
        <w:t xml:space="preserve">22.4. </w:t>
      </w:r>
      <w:r>
        <w:rPr>
          <w:rFonts w:cs="Times New Roman" w:ascii="Times New Roman" w:hAnsi="Times New Roman"/>
        </w:rPr>
        <w:t>Além das hipóteses legalmente previstas, a presente concessão poderá ser revogada nas seguintes hipóteses:</w:t>
      </w:r>
    </w:p>
    <w:p>
      <w:pPr>
        <w:pStyle w:val="Default"/>
        <w:jc w:val="both"/>
        <w:rPr/>
      </w:pPr>
      <w:r>
        <w:rPr/>
      </w:r>
    </w:p>
    <w:p>
      <w:pPr>
        <w:pStyle w:val="Default"/>
        <w:ind w:left="283"/>
        <w:jc w:val="both"/>
        <w:rPr/>
      </w:pPr>
      <w:r>
        <w:rPr>
          <w:b/>
          <w:bCs/>
        </w:rPr>
        <w:t>a)</w:t>
      </w:r>
      <w:r>
        <w:rPr/>
        <w:t xml:space="preserve"> pela alteração no objeto social ou a modificação da finalidade ou da estrutura da</w:t>
      </w:r>
      <w:r>
        <w:rPr>
          <w:rFonts w:eastAsia="Arial-BoldMT"/>
          <w:color w:val="auto"/>
          <w:kern w:val="0"/>
          <w:lang w:eastAsia="en-US"/>
        </w:rPr>
        <w:t>(s) CONCESSIONÁRIA(s)</w:t>
      </w:r>
      <w:r>
        <w:rPr/>
        <w:t>, de forma que prejudiquem a execução do contrato;</w:t>
      </w:r>
    </w:p>
    <w:p>
      <w:pPr>
        <w:pStyle w:val="Default"/>
        <w:ind w:left="283"/>
        <w:jc w:val="both"/>
        <w:rPr/>
      </w:pPr>
      <w:r>
        <w:rPr/>
      </w:r>
    </w:p>
    <w:p>
      <w:pPr>
        <w:pStyle w:val="Default"/>
        <w:ind w:left="283"/>
        <w:jc w:val="both"/>
        <w:rPr/>
      </w:pPr>
      <w:r>
        <w:rPr>
          <w:b/>
          <w:bCs/>
        </w:rPr>
        <w:t>b)</w:t>
      </w:r>
      <w:r>
        <w:rPr/>
        <w:t xml:space="preserve"> pela inexecução total ou parcial das cláusulas e exigências previstas neste TERMO DE REFERÊNCIA que dá origem à concessão e as constantes do contrato;</w:t>
      </w:r>
    </w:p>
    <w:p>
      <w:pPr>
        <w:pStyle w:val="Default"/>
        <w:jc w:val="both"/>
        <w:rPr>
          <w:b/>
        </w:rPr>
      </w:pPr>
      <w:r>
        <w:rPr>
          <w:b/>
        </w:rPr>
      </w:r>
    </w:p>
    <w:p>
      <w:pPr>
        <w:pStyle w:val="Default"/>
        <w:jc w:val="both"/>
        <w:rPr/>
      </w:pPr>
      <w:r>
        <w:rPr>
          <w:b/>
        </w:rPr>
        <w:t xml:space="preserve">22.5. </w:t>
      </w:r>
      <w:r>
        <w:rPr/>
        <w:t>Sem prejuízo das demais sanções aplicáveis, a critério do CONCEDENTE, a revogação por culpa da</w:t>
      </w:r>
      <w:r>
        <w:rPr>
          <w:rFonts w:eastAsia="Arial-BoldMT"/>
          <w:color w:val="auto"/>
          <w:kern w:val="0"/>
          <w:lang w:eastAsia="en-US"/>
        </w:rPr>
        <w:t>(s) CONCESSIONÁRIA(s)</w:t>
      </w:r>
      <w:r>
        <w:rPr>
          <w:b/>
        </w:rPr>
        <w:t xml:space="preserve"> </w:t>
      </w:r>
      <w:r>
        <w:rPr/>
        <w:t>ainda importará em:</w:t>
      </w:r>
    </w:p>
    <w:p>
      <w:pPr>
        <w:pStyle w:val="Default"/>
        <w:jc w:val="both"/>
        <w:rPr/>
      </w:pPr>
      <w:r>
        <w:rPr/>
      </w:r>
    </w:p>
    <w:p>
      <w:pPr>
        <w:pStyle w:val="Default"/>
        <w:ind w:left="283"/>
        <w:jc w:val="both"/>
        <w:rPr/>
      </w:pPr>
      <w:r>
        <w:rPr>
          <w:b/>
          <w:bCs/>
        </w:rPr>
        <w:t>a)</w:t>
      </w:r>
      <w:r>
        <w:rPr/>
        <w:t xml:space="preserve"> aplicação de pena de suspensão do direito de licitar com o CONCEDENTE</w:t>
      </w:r>
      <w:r>
        <w:rPr>
          <w:b/>
        </w:rPr>
        <w:t xml:space="preserve"> </w:t>
      </w:r>
      <w:r>
        <w:rPr/>
        <w:t>e com demais órgãos da administração direta e indireta do CONCEDENTE;</w:t>
      </w:r>
    </w:p>
    <w:p>
      <w:pPr>
        <w:pStyle w:val="Default"/>
        <w:ind w:left="283"/>
        <w:jc w:val="both"/>
        <w:rPr/>
      </w:pPr>
      <w:r>
        <w:rPr/>
      </w:r>
    </w:p>
    <w:p>
      <w:pPr>
        <w:pStyle w:val="Default"/>
        <w:ind w:left="283"/>
        <w:jc w:val="both"/>
        <w:rPr/>
      </w:pPr>
      <w:r>
        <w:rPr>
          <w:b/>
          <w:bCs/>
        </w:rPr>
        <w:t>b)</w:t>
      </w:r>
      <w:r>
        <w:rPr/>
        <w:t xml:space="preserve"> declaração de inidoneidade quando a</w:t>
      </w:r>
      <w:r>
        <w:rPr>
          <w:rFonts w:eastAsia="Arial-BoldMT"/>
          <w:color w:val="auto"/>
          <w:kern w:val="0"/>
          <w:lang w:eastAsia="en-US"/>
        </w:rPr>
        <w:t>(s) CONCESSIONÁRIA(s)</w:t>
      </w:r>
      <w:r>
        <w:rPr/>
        <w:t>, sem justa causa, não cumprir as obrigações assumidas, praticando falta grave, dolosa ou revestida de má-fé, a juízo do CONCEDENTE. A pena de inidoneidade será aplicada em despacho fundamentado, assegurado a defesa ao infrator, ponderada a natureza, a gravidade da falta e a extensão do dano, efetivo ou potencial.</w:t>
      </w:r>
    </w:p>
    <w:p>
      <w:pPr>
        <w:pStyle w:val="Default"/>
        <w:jc w:val="both"/>
        <w:rPr>
          <w:b/>
        </w:rPr>
      </w:pPr>
      <w:r>
        <w:rPr>
          <w:b/>
        </w:rPr>
      </w:r>
    </w:p>
    <w:p>
      <w:pPr>
        <w:pStyle w:val="Default"/>
        <w:jc w:val="both"/>
        <w:rPr/>
      </w:pPr>
      <w:r>
        <w:rPr>
          <w:b/>
        </w:rPr>
        <w:t xml:space="preserve">22.6. </w:t>
      </w:r>
      <w:r>
        <w:rPr/>
        <w:t>A rescisão, intervenção, revogação ou extinção do contrato de concessão, em qualquer caso, não proporcionará à</w:t>
      </w:r>
      <w:r>
        <w:rPr>
          <w:rFonts w:eastAsia="Arial-BoldMT"/>
          <w:color w:val="auto"/>
          <w:kern w:val="0"/>
          <w:lang w:eastAsia="en-US"/>
        </w:rPr>
        <w:t>(s) CONCESSIONÁRIA(s)</w:t>
      </w:r>
      <w:r>
        <w:rPr>
          <w:b/>
        </w:rPr>
        <w:t xml:space="preserve"> </w:t>
      </w:r>
      <w:r>
        <w:rPr/>
        <w:t>direito à indenização ou reembolso por benfeitorias realizadas, bem como, não lhe dando direito a ressarcimento de quaisquer despesas que haja efetuado.</w:t>
      </w:r>
    </w:p>
    <w:p>
      <w:pPr>
        <w:pStyle w:val="Default"/>
        <w:jc w:val="both"/>
        <w:rPr/>
      </w:pPr>
      <w:r>
        <w:rPr/>
      </w:r>
    </w:p>
    <w:p>
      <w:pPr>
        <w:pStyle w:val="Standard"/>
        <w:widowControl/>
        <w:numPr>
          <w:ilvl w:val="0"/>
          <w:numId w:val="128"/>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bCs/>
          <w:color w:val="000000"/>
        </w:rPr>
        <w:t>23. DA ADEQUAÇÃO ORÇAMENTÁRIA</w:t>
      </w:r>
    </w:p>
    <w:p>
      <w:pPr>
        <w:pStyle w:val="Default"/>
        <w:jc w:val="both"/>
        <w:rPr>
          <w:b/>
        </w:rPr>
      </w:pPr>
      <w:r>
        <w:rPr>
          <w:b/>
        </w:rPr>
      </w:r>
    </w:p>
    <w:p>
      <w:pPr>
        <w:pStyle w:val="Standard"/>
        <w:widowControl/>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b/>
          <w:bCs/>
          <w:color w:val="000000"/>
          <w:shd w:fill="FFFFFF" w:val="clear"/>
          <w:lang w:eastAsia="en-US" w:bidi="ar-SA"/>
        </w:rPr>
        <w:t>23.1</w:t>
      </w:r>
      <w:r>
        <w:rPr>
          <w:rFonts w:eastAsia="Times New Roman" w:cs="Times New Roman" w:ascii="Times New Roman" w:hAnsi="Times New Roman"/>
          <w:color w:val="000000"/>
          <w:shd w:fill="FFFFFF" w:val="clear"/>
          <w:lang w:eastAsia="en-US" w:bidi="ar-SA"/>
        </w:rPr>
        <w:t xml:space="preserve"> Não há previsão de despesas decorrentes da presente contratação, apenas a previsão de receita.</w:t>
      </w:r>
    </w:p>
    <w:p>
      <w:pPr>
        <w:pStyle w:val="Default"/>
        <w:jc w:val="both"/>
        <w:rPr>
          <w:b/>
          <w:bCs/>
        </w:rPr>
      </w:pPr>
      <w:r>
        <w:rPr>
          <w:b/>
          <w:bCs/>
        </w:rPr>
      </w:r>
    </w:p>
    <w:p>
      <w:pPr>
        <w:pStyle w:val="ListParagraph"/>
        <w:numPr>
          <w:ilvl w:val="0"/>
          <w:numId w:val="129"/>
        </w:numPr>
        <w:jc w:val="both"/>
        <w:rPr/>
      </w:pPr>
      <w:r>
        <w:rPr>
          <w:rFonts w:cs="Times New Roman" w:ascii="Times New Roman" w:hAnsi="Times New Roman"/>
          <w:b/>
          <w:bCs/>
          <w:color w:val="000000"/>
        </w:rPr>
        <w:t>24. DAS DISPOSIÇÕES GERAIS</w:t>
      </w:r>
    </w:p>
    <w:p>
      <w:pPr>
        <w:pStyle w:val="ListParagraph"/>
        <w:numPr>
          <w:ilvl w:val="0"/>
          <w:numId w:val="130"/>
        </w:numPr>
        <w:jc w:val="both"/>
        <w:rPr>
          <w:rFonts w:ascii="Times New Roman" w:hAnsi="Times New Roman" w:cs="Times New Roman"/>
          <w:b/>
          <w:bCs/>
          <w:color w:val="000000"/>
        </w:rPr>
      </w:pPr>
      <w:r>
        <w:rPr>
          <w:rFonts w:cs="Times New Roman" w:ascii="Times New Roman" w:hAnsi="Times New Roman"/>
          <w:b/>
          <w:bCs/>
          <w:color w:val="000000"/>
        </w:rPr>
      </w:r>
    </w:p>
    <w:p>
      <w:pPr>
        <w:pStyle w:val="Standard"/>
        <w:keepLines/>
        <w:numPr>
          <w:ilvl w:val="0"/>
          <w:numId w:val="131"/>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both"/>
        <w:rPr/>
      </w:pPr>
      <w:r>
        <w:rPr>
          <w:rFonts w:eastAsia="Times New Roman" w:cs="Times New Roman" w:ascii="Times New Roman" w:hAnsi="Times New Roman"/>
          <w:b/>
          <w:bCs/>
          <w:lang w:bidi="ar-SA"/>
        </w:rPr>
        <w:t xml:space="preserve">24.1. </w:t>
      </w:r>
      <w:r>
        <w:rPr>
          <w:rFonts w:eastAsia="Arial" w:cs="Times New Roman" w:ascii="Times New Roman" w:hAnsi="Times New Roman"/>
          <w:bCs/>
          <w:lang w:bidi="ar-SA"/>
        </w:rPr>
        <w:t xml:space="preserve">Esclarecimentos técnicos referentes ao objeto desta contratação, na Secretaria Municipal do Meio Ambiente e Sustentabilidade, </w:t>
      </w:r>
      <w:r>
        <w:rPr>
          <w:rFonts w:eastAsia="Arial" w:cs="Times New Roman" w:ascii="Times New Roman" w:hAnsi="Times New Roman"/>
          <w:lang w:bidi="ar-SA"/>
        </w:rPr>
        <w:t>no</w:t>
      </w:r>
      <w:r>
        <w:rPr>
          <w:rFonts w:eastAsia="Arial" w:cs="Times New Roman" w:ascii="Times New Roman" w:hAnsi="Times New Roman"/>
          <w:bCs/>
          <w:lang w:bidi="ar-SA"/>
        </w:rPr>
        <w:t xml:space="preserve"> setor jurídico com Daniela Fernandes Ferrari, fone (54) 3901-1445 ramal 5233 no horário das 10h às 16h, de segunda a sexta-feira, em dias úteis.</w:t>
      </w:r>
    </w:p>
    <w:p>
      <w:pPr>
        <w:pStyle w:val="Default"/>
        <w:jc w:val="both"/>
        <w:rPr>
          <w:shd w:fill="FFFFFF" w:val="clear"/>
          <w:lang w:bidi="ar-SA"/>
        </w:rPr>
      </w:pPr>
      <w:r>
        <w:rPr>
          <w:shd w:fill="FFFFFF" w:val="clear"/>
          <w:lang w:bidi="ar-SA"/>
        </w:rPr>
      </w:r>
    </w:p>
    <w:p>
      <w:pPr>
        <w:pStyle w:val="Standard"/>
        <w:numPr>
          <w:ilvl w:val="0"/>
          <w:numId w:val="132"/>
        </w:numPr>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b/>
          <w:lang w:bidi="ar-SA"/>
        </w:rPr>
        <w:t xml:space="preserve">25.2. </w:t>
      </w:r>
      <w:r>
        <w:rPr>
          <w:rFonts w:eastAsia="Times New Roman" w:cs="Times New Roman" w:ascii="Times New Roman" w:hAnsi="Times New Roman"/>
          <w:lang w:bidi="ar-SA"/>
        </w:rPr>
        <w:t>Fazem parte deste TERMO DE REFERÊNCIA:</w:t>
      </w:r>
    </w:p>
    <w:p>
      <w:pPr>
        <w:pStyle w:val="Standard"/>
        <w:numPr>
          <w:ilvl w:val="0"/>
          <w:numId w:val="133"/>
        </w:numPr>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eastAsia="Times New Roman" w:cs="Times New Roman"/>
          <w:b/>
          <w:shd w:fill="FFFF99" w:val="clear"/>
          <w:lang w:bidi="ar-SA"/>
        </w:rPr>
      </w:pPr>
      <w:r>
        <w:rPr>
          <w:rFonts w:eastAsia="Times New Roman" w:cs="Times New Roman" w:ascii="Times New Roman" w:hAnsi="Times New Roman"/>
          <w:b/>
          <w:shd w:fill="FFFF99" w:val="clear"/>
          <w:lang w:bidi="ar-SA"/>
        </w:rPr>
      </w:r>
    </w:p>
    <w:tbl>
      <w:tblPr>
        <w:tblW w:w="9261" w:type="dxa"/>
        <w:jc w:val="left"/>
        <w:tblInd w:w="282" w:type="dxa"/>
        <w:tblLayout w:type="fixed"/>
        <w:tblCellMar>
          <w:top w:w="55" w:type="dxa"/>
          <w:left w:w="55" w:type="dxa"/>
          <w:bottom w:w="55" w:type="dxa"/>
          <w:right w:w="55" w:type="dxa"/>
        </w:tblCellMar>
        <w:tblLook w:firstRow="1" w:noVBand="1" w:lastRow="0" w:firstColumn="1" w:lastColumn="0" w:noHBand="0" w:val="04a0"/>
      </w:tblPr>
      <w:tblGrid>
        <w:gridCol w:w="1287"/>
        <w:gridCol w:w="265"/>
        <w:gridCol w:w="7709"/>
      </w:tblGrid>
      <w:tr>
        <w:trPr>
          <w:trHeight w:val="397" w:hRule="atLeast"/>
        </w:trPr>
        <w:tc>
          <w:tcPr>
            <w:tcW w:w="1287" w:type="dxa"/>
            <w:tcBorders>
              <w:top w:val="single" w:sz="2" w:space="0" w:color="000000"/>
              <w:left w:val="single" w:sz="2" w:space="0" w:color="000000"/>
              <w:bottom w:val="single" w:sz="2" w:space="0" w:color="000000"/>
            </w:tcBorders>
            <w:vAlign w:val="center"/>
          </w:tcPr>
          <w:p>
            <w:pPr>
              <w:pStyle w:val="Standard"/>
              <w:numPr>
                <w:ilvl w:val="0"/>
                <w:numId w:val="134"/>
              </w:numPr>
              <w:snapToGrid w:val="false"/>
              <w:jc w:val="center"/>
              <w:rPr>
                <w:rFonts w:ascii="Times New Roman" w:hAnsi="Times New Roman" w:eastAsia="Times New Roman" w:cs="Times New Roman"/>
                <w:lang w:bidi="ar-SA"/>
              </w:rPr>
            </w:pPr>
            <w:r>
              <w:rPr>
                <w:rFonts w:eastAsia="Times New Roman" w:cs="Times New Roman" w:ascii="Times New Roman" w:hAnsi="Times New Roman"/>
                <w:lang w:bidi="ar-SA"/>
              </w:rPr>
              <w:t>Anexo I</w:t>
            </w:r>
          </w:p>
        </w:tc>
        <w:tc>
          <w:tcPr>
            <w:tcW w:w="265" w:type="dxa"/>
            <w:tcBorders>
              <w:top w:val="single" w:sz="2" w:space="0" w:color="000000"/>
              <w:left w:val="single" w:sz="2" w:space="0" w:color="000000"/>
              <w:bottom w:val="single" w:sz="2" w:space="0" w:color="000000"/>
            </w:tcBorders>
            <w:vAlign w:val="center"/>
          </w:tcPr>
          <w:p>
            <w:pPr>
              <w:pStyle w:val="Standard"/>
              <w:numPr>
                <w:ilvl w:val="0"/>
                <w:numId w:val="135"/>
              </w:numPr>
              <w:snapToGrid w:val="false"/>
              <w:rPr>
                <w:rFonts w:ascii="Times New Roman" w:hAnsi="Times New Roman" w:eastAsia="Times New Roman" w:cs="Times New Roman"/>
                <w:lang w:bidi="ar-SA"/>
              </w:rPr>
            </w:pPr>
            <w:r>
              <w:rPr>
                <w:rFonts w:eastAsia="Times New Roman" w:cs="Times New Roman" w:ascii="Times New Roman" w:hAnsi="Times New Roman"/>
                <w:lang w:bidi="ar-SA"/>
              </w:rPr>
              <w:t>-</w:t>
            </w:r>
          </w:p>
        </w:tc>
        <w:tc>
          <w:tcPr>
            <w:tcW w:w="7709" w:type="dxa"/>
            <w:tcBorders>
              <w:top w:val="single" w:sz="2" w:space="0" w:color="000000"/>
              <w:left w:val="single" w:sz="2" w:space="0" w:color="000000"/>
              <w:bottom w:val="single" w:sz="2" w:space="0" w:color="000000"/>
              <w:right w:val="single" w:sz="2" w:space="0" w:color="000000"/>
            </w:tcBorders>
            <w:vAlign w:val="center"/>
          </w:tcPr>
          <w:p>
            <w:pPr>
              <w:pStyle w:val="Nivel01"/>
              <w:tabs>
                <w:tab w:val="clear" w:pos="135"/>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napToGrid w:val="false"/>
              <w:spacing w:before="0" w:after="120"/>
              <w:jc w:val="left"/>
              <w:textAlignment w:val="top"/>
              <w:rPr>
                <w:rFonts w:ascii="Times New Roman" w:hAnsi="Times New Roman" w:eastAsia="Times New Roman" w:cs="Times New Roman"/>
                <w:b w:val="false"/>
                <w:color w:val="auto"/>
                <w:sz w:val="24"/>
                <w:szCs w:val="24"/>
                <w:lang w:bidi="ar-SA"/>
              </w:rPr>
            </w:pPr>
            <w:r>
              <w:rPr>
                <w:rFonts w:eastAsia="Times New Roman" w:cs="Times New Roman" w:ascii="Times New Roman" w:hAnsi="Times New Roman"/>
                <w:b w:val="false"/>
                <w:color w:val="auto"/>
                <w:sz w:val="24"/>
                <w:szCs w:val="24"/>
                <w:lang w:bidi="ar-SA"/>
              </w:rPr>
              <w:t>FORMA E CRITÉRIOS DE SELEÇÃO DA(S) PARTICIPANTE(S).</w:t>
            </w:r>
          </w:p>
        </w:tc>
      </w:tr>
      <w:tr>
        <w:trPr/>
        <w:tc>
          <w:tcPr>
            <w:tcW w:w="1287" w:type="dxa"/>
            <w:tcBorders>
              <w:left w:val="single" w:sz="2" w:space="0" w:color="000000"/>
              <w:bottom w:val="single" w:sz="2" w:space="0" w:color="000000"/>
            </w:tcBorders>
            <w:vAlign w:val="center"/>
          </w:tcPr>
          <w:p>
            <w:pPr>
              <w:pStyle w:val="Standard"/>
              <w:numPr>
                <w:ilvl w:val="0"/>
                <w:numId w:val="136"/>
              </w:numPr>
              <w:snapToGrid w:val="false"/>
              <w:jc w:val="center"/>
              <w:rPr>
                <w:rFonts w:ascii="Times New Roman" w:hAnsi="Times New Roman" w:eastAsia="Times New Roman" w:cs="Times New Roman"/>
                <w:lang w:bidi="ar-SA"/>
              </w:rPr>
            </w:pPr>
            <w:r>
              <w:rPr>
                <w:rFonts w:eastAsia="Times New Roman" w:cs="Times New Roman" w:ascii="Times New Roman" w:hAnsi="Times New Roman"/>
                <w:lang w:bidi="ar-SA"/>
              </w:rPr>
              <w:t>Anexo II</w:t>
            </w:r>
          </w:p>
        </w:tc>
        <w:tc>
          <w:tcPr>
            <w:tcW w:w="265" w:type="dxa"/>
            <w:tcBorders>
              <w:left w:val="single" w:sz="2" w:space="0" w:color="000000"/>
              <w:bottom w:val="single" w:sz="2" w:space="0" w:color="000000"/>
            </w:tcBorders>
            <w:vAlign w:val="center"/>
          </w:tcPr>
          <w:p>
            <w:pPr>
              <w:pStyle w:val="Standard"/>
              <w:numPr>
                <w:ilvl w:val="0"/>
                <w:numId w:val="137"/>
              </w:numPr>
              <w:snapToGrid w:val="false"/>
              <w:rPr>
                <w:rFonts w:ascii="Times New Roman" w:hAnsi="Times New Roman" w:eastAsia="Times New Roman" w:cs="Times New Roman"/>
                <w:lang w:bidi="ar-SA"/>
              </w:rPr>
            </w:pPr>
            <w:r>
              <w:rPr>
                <w:rFonts w:eastAsia="Times New Roman" w:cs="Times New Roman" w:ascii="Times New Roman" w:hAnsi="Times New Roman"/>
                <w:lang w:bidi="ar-SA"/>
              </w:rPr>
              <w:t>-</w:t>
            </w:r>
          </w:p>
        </w:tc>
        <w:tc>
          <w:tcPr>
            <w:tcW w:w="7709" w:type="dxa"/>
            <w:tcBorders>
              <w:left w:val="single" w:sz="2" w:space="0" w:color="000000"/>
              <w:bottom w:val="single" w:sz="2" w:space="0" w:color="000000"/>
              <w:right w:val="single" w:sz="2" w:space="0" w:color="000000"/>
            </w:tcBorders>
            <w:vAlign w:val="center"/>
          </w:tcPr>
          <w:p>
            <w:pPr>
              <w:pStyle w:val="Standard"/>
              <w:keepLines/>
              <w:snapToGrid w:val="false"/>
              <w:ind w:left="-57" w:right="113"/>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t xml:space="preserve"> </w:t>
            </w:r>
            <w:r>
              <w:rPr>
                <w:rFonts w:eastAsia="Times New Roman" w:cs="Times New Roman" w:ascii="Times New Roman" w:hAnsi="Times New Roman"/>
                <w:lang w:bidi="ar-SA"/>
              </w:rPr>
              <w:t>DECLARAÇÃO DE RESPONSABILIDADE REFERENTE AOS</w:t>
            </w:r>
          </w:p>
          <w:p>
            <w:pPr>
              <w:pStyle w:val="Standard"/>
              <w:keepLines/>
              <w:snapToGrid w:val="false"/>
              <w:ind w:left="-57" w:right="113"/>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t xml:space="preserve"> </w:t>
            </w:r>
            <w:r>
              <w:rPr>
                <w:rFonts w:eastAsia="Times New Roman" w:cs="Times New Roman" w:ascii="Times New Roman" w:hAnsi="Times New Roman"/>
                <w:lang w:bidi="ar-SA"/>
              </w:rPr>
              <w:t>SERVIÇOS SUBCONTRATADOS.</w:t>
            </w:r>
          </w:p>
        </w:tc>
      </w:tr>
      <w:tr>
        <w:trPr/>
        <w:tc>
          <w:tcPr>
            <w:tcW w:w="1287" w:type="dxa"/>
            <w:tcBorders>
              <w:left w:val="single" w:sz="2" w:space="0" w:color="000000"/>
              <w:bottom w:val="single" w:sz="2" w:space="0" w:color="000000"/>
            </w:tcBorders>
            <w:vAlign w:val="center"/>
          </w:tcPr>
          <w:p>
            <w:pPr>
              <w:pStyle w:val="Standard"/>
              <w:numPr>
                <w:ilvl w:val="0"/>
                <w:numId w:val="138"/>
              </w:numPr>
              <w:snapToGrid w:val="false"/>
              <w:jc w:val="center"/>
              <w:rPr>
                <w:rFonts w:ascii="Times New Roman" w:hAnsi="Times New Roman" w:eastAsia="Times New Roman" w:cs="Times New Roman"/>
                <w:lang w:bidi="ar-SA"/>
              </w:rPr>
            </w:pPr>
            <w:r>
              <w:rPr>
                <w:rFonts w:eastAsia="Times New Roman" w:cs="Times New Roman" w:ascii="Times New Roman" w:hAnsi="Times New Roman"/>
                <w:lang w:bidi="ar-SA"/>
              </w:rPr>
              <w:t>Anexo III</w:t>
            </w:r>
          </w:p>
        </w:tc>
        <w:tc>
          <w:tcPr>
            <w:tcW w:w="265" w:type="dxa"/>
            <w:tcBorders>
              <w:left w:val="single" w:sz="2" w:space="0" w:color="000000"/>
              <w:bottom w:val="single" w:sz="2" w:space="0" w:color="000000"/>
            </w:tcBorders>
            <w:vAlign w:val="center"/>
          </w:tcPr>
          <w:p>
            <w:pPr>
              <w:pStyle w:val="Standard"/>
              <w:numPr>
                <w:ilvl w:val="0"/>
                <w:numId w:val="139"/>
              </w:numPr>
              <w:snapToGrid w:val="false"/>
              <w:jc w:val="both"/>
              <w:rPr>
                <w:rFonts w:ascii="Times New Roman" w:hAnsi="Times New Roman" w:eastAsia="Times New Roman" w:cs="Times New Roman"/>
                <w:lang w:bidi="ar-SA"/>
              </w:rPr>
            </w:pPr>
            <w:r>
              <w:rPr>
                <w:rFonts w:eastAsia="Times New Roman" w:cs="Times New Roman" w:ascii="Times New Roman" w:hAnsi="Times New Roman"/>
                <w:lang w:bidi="ar-SA"/>
              </w:rPr>
              <w:t>-</w:t>
            </w:r>
          </w:p>
        </w:tc>
        <w:tc>
          <w:tcPr>
            <w:tcW w:w="7709" w:type="dxa"/>
            <w:tcBorders>
              <w:left w:val="single" w:sz="2" w:space="0" w:color="000000"/>
              <w:bottom w:val="single" w:sz="2" w:space="0" w:color="000000"/>
              <w:right w:val="single" w:sz="2" w:space="0" w:color="000000"/>
            </w:tcBorders>
            <w:vAlign w:val="center"/>
          </w:tcPr>
          <w:p>
            <w:pPr>
              <w:pStyle w:val="ListParagraph"/>
              <w:numPr>
                <w:ilvl w:val="0"/>
                <w:numId w:val="140"/>
              </w:numPr>
              <w:snapToGrid w:val="false"/>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t>DECLARAÇÃO DE CONHECIMENTO.</w:t>
            </w:r>
          </w:p>
        </w:tc>
      </w:tr>
      <w:tr>
        <w:trPr/>
        <w:tc>
          <w:tcPr>
            <w:tcW w:w="1287" w:type="dxa"/>
            <w:tcBorders>
              <w:left w:val="single" w:sz="2" w:space="0" w:color="000000"/>
              <w:bottom w:val="single" w:sz="4" w:space="0" w:color="000000"/>
            </w:tcBorders>
            <w:vAlign w:val="center"/>
          </w:tcPr>
          <w:p>
            <w:pPr>
              <w:pStyle w:val="Standard"/>
              <w:numPr>
                <w:ilvl w:val="0"/>
                <w:numId w:val="141"/>
              </w:numPr>
              <w:snapToGrid w:val="false"/>
              <w:jc w:val="center"/>
              <w:rPr>
                <w:rFonts w:ascii="Times New Roman" w:hAnsi="Times New Roman" w:eastAsia="Times New Roman" w:cs="Times New Roman"/>
                <w:lang w:bidi="ar-SA"/>
              </w:rPr>
            </w:pPr>
            <w:r>
              <w:rPr>
                <w:rFonts w:eastAsia="Times New Roman" w:cs="Times New Roman" w:ascii="Times New Roman" w:hAnsi="Times New Roman"/>
                <w:lang w:bidi="ar-SA"/>
              </w:rPr>
              <w:t>Anexo IV</w:t>
            </w:r>
          </w:p>
        </w:tc>
        <w:tc>
          <w:tcPr>
            <w:tcW w:w="265" w:type="dxa"/>
            <w:tcBorders>
              <w:left w:val="single" w:sz="2" w:space="0" w:color="000000"/>
              <w:bottom w:val="single" w:sz="4" w:space="0" w:color="000000"/>
            </w:tcBorders>
            <w:vAlign w:val="center"/>
          </w:tcPr>
          <w:p>
            <w:pPr>
              <w:pStyle w:val="Standard"/>
              <w:numPr>
                <w:ilvl w:val="0"/>
                <w:numId w:val="142"/>
              </w:numPr>
              <w:snapToGrid w:val="false"/>
              <w:jc w:val="both"/>
              <w:rPr>
                <w:rFonts w:ascii="Times New Roman" w:hAnsi="Times New Roman" w:eastAsia="Times New Roman" w:cs="Times New Roman"/>
                <w:lang w:bidi="ar-SA"/>
              </w:rPr>
            </w:pPr>
            <w:r>
              <w:rPr>
                <w:rFonts w:eastAsia="Times New Roman" w:cs="Times New Roman" w:ascii="Times New Roman" w:hAnsi="Times New Roman"/>
                <w:lang w:bidi="ar-SA"/>
              </w:rPr>
              <w:t>-</w:t>
            </w:r>
          </w:p>
        </w:tc>
        <w:tc>
          <w:tcPr>
            <w:tcW w:w="7709" w:type="dxa"/>
            <w:tcBorders>
              <w:left w:val="single" w:sz="2" w:space="0" w:color="000000"/>
              <w:bottom w:val="single" w:sz="4" w:space="0" w:color="000000"/>
              <w:right w:val="single" w:sz="2" w:space="0" w:color="000000"/>
            </w:tcBorders>
            <w:vAlign w:val="center"/>
          </w:tcPr>
          <w:p>
            <w:pPr>
              <w:pStyle w:val="Standard"/>
              <w:keepLines/>
              <w:numPr>
                <w:ilvl w:val="0"/>
                <w:numId w:val="143"/>
              </w:numPr>
              <w:tabs>
                <w:tab w:val="clear" w:pos="720"/>
                <w:tab w:val="left" w:pos="3884" w:leader="none"/>
                <w:tab w:val="left" w:pos="4264" w:leader="none"/>
                <w:tab w:val="left" w:pos="4828" w:leader="none"/>
                <w:tab w:val="left" w:pos="5548" w:leader="none"/>
                <w:tab w:val="left" w:pos="6268" w:leader="none"/>
                <w:tab w:val="left" w:pos="6988" w:leader="none"/>
                <w:tab w:val="left" w:pos="7708" w:leader="none"/>
                <w:tab w:val="left" w:pos="8428" w:leader="none"/>
                <w:tab w:val="left" w:pos="9148" w:leader="none"/>
                <w:tab w:val="left" w:pos="9868" w:leader="none"/>
              </w:tabs>
              <w:snapToGrid w:val="false"/>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t>DECLARAÇÃO OPCIONAL DE RENÚNCIA AO PRAZO RECURSAL.</w:t>
            </w:r>
          </w:p>
        </w:tc>
      </w:tr>
      <w:tr>
        <w:trPr/>
        <w:tc>
          <w:tcPr>
            <w:tcW w:w="1287" w:type="dxa"/>
            <w:tcBorders>
              <w:top w:val="single" w:sz="4" w:space="0" w:color="000000"/>
              <w:left w:val="single" w:sz="4" w:space="0" w:color="000000"/>
              <w:bottom w:val="single" w:sz="4" w:space="0" w:color="000000"/>
              <w:right w:val="single" w:sz="4" w:space="0" w:color="000000"/>
            </w:tcBorders>
            <w:vAlign w:val="center"/>
          </w:tcPr>
          <w:p>
            <w:pPr>
              <w:pStyle w:val="Standard"/>
              <w:numPr>
                <w:ilvl w:val="0"/>
                <w:numId w:val="144"/>
              </w:numPr>
              <w:snapToGrid w:val="false"/>
              <w:jc w:val="center"/>
              <w:rPr>
                <w:rFonts w:ascii="Times New Roman" w:hAnsi="Times New Roman" w:eastAsia="Times New Roman" w:cs="Times New Roman"/>
                <w:lang w:bidi="ar-SA"/>
              </w:rPr>
            </w:pPr>
            <w:r>
              <w:rPr>
                <w:rFonts w:eastAsia="Times New Roman" w:cs="Times New Roman" w:ascii="Times New Roman" w:hAnsi="Times New Roman"/>
                <w:lang w:bidi="ar-SA"/>
              </w:rPr>
              <w:t>Anexo V</w:t>
            </w:r>
          </w:p>
        </w:tc>
        <w:tc>
          <w:tcPr>
            <w:tcW w:w="265" w:type="dxa"/>
            <w:tcBorders>
              <w:top w:val="single" w:sz="4" w:space="0" w:color="000000"/>
              <w:left w:val="single" w:sz="4" w:space="0" w:color="000000"/>
              <w:bottom w:val="single" w:sz="4" w:space="0" w:color="000000"/>
              <w:right w:val="single" w:sz="4" w:space="0" w:color="000000"/>
            </w:tcBorders>
            <w:vAlign w:val="center"/>
          </w:tcPr>
          <w:p>
            <w:pPr>
              <w:pStyle w:val="Standard"/>
              <w:numPr>
                <w:ilvl w:val="0"/>
                <w:numId w:val="145"/>
              </w:numPr>
              <w:snapToGrid w:val="false"/>
              <w:jc w:val="both"/>
              <w:rPr>
                <w:rFonts w:ascii="Times New Roman" w:hAnsi="Times New Roman" w:eastAsia="Times New Roman" w:cs="Times New Roman"/>
                <w:lang w:bidi="ar-SA"/>
              </w:rPr>
            </w:pPr>
            <w:r>
              <w:rPr>
                <w:rFonts w:eastAsia="Times New Roman" w:cs="Times New Roman" w:ascii="Times New Roman" w:hAnsi="Times New Roman"/>
                <w:lang w:bidi="ar-SA"/>
              </w:rPr>
              <w:t>-</w:t>
            </w:r>
          </w:p>
        </w:tc>
        <w:tc>
          <w:tcPr>
            <w:tcW w:w="7709" w:type="dxa"/>
            <w:tcBorders>
              <w:top w:val="single" w:sz="4" w:space="0" w:color="000000"/>
              <w:left w:val="single" w:sz="4" w:space="0" w:color="000000"/>
              <w:bottom w:val="single" w:sz="4" w:space="0" w:color="000000"/>
              <w:right w:val="single" w:sz="4" w:space="0" w:color="000000"/>
            </w:tcBorders>
            <w:vAlign w:val="center"/>
          </w:tcPr>
          <w:p>
            <w:pPr>
              <w:pStyle w:val="Standard"/>
              <w:keepLines/>
              <w:numPr>
                <w:ilvl w:val="0"/>
                <w:numId w:val="146"/>
              </w:numPr>
              <w:tabs>
                <w:tab w:val="clear" w:pos="720"/>
                <w:tab w:val="left" w:pos="3884" w:leader="none"/>
                <w:tab w:val="left" w:pos="4264" w:leader="none"/>
                <w:tab w:val="left" w:pos="4828" w:leader="none"/>
                <w:tab w:val="left" w:pos="5548" w:leader="none"/>
                <w:tab w:val="left" w:pos="6268" w:leader="none"/>
                <w:tab w:val="left" w:pos="6988" w:leader="none"/>
                <w:tab w:val="left" w:pos="7708" w:leader="none"/>
                <w:tab w:val="left" w:pos="8428" w:leader="none"/>
                <w:tab w:val="left" w:pos="9148" w:leader="none"/>
                <w:tab w:val="left" w:pos="9868" w:leader="none"/>
              </w:tabs>
              <w:snapToGrid w:val="false"/>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t>DIRETRIZES TÉCNICAS.</w:t>
            </w:r>
          </w:p>
        </w:tc>
      </w:tr>
    </w:tbl>
    <w:p>
      <w:pPr>
        <w:pStyle w:val="ListParagraph"/>
        <w:jc w:val="right"/>
        <w:rPr>
          <w:rFonts w:ascii="Times New Roman" w:hAnsi="Times New Roman" w:eastAsia="Times New Roman" w:cs="Times New Roman"/>
          <w:lang w:bidi="ar-SA"/>
        </w:rPr>
      </w:pPr>
      <w:r>
        <w:rPr>
          <w:rFonts w:eastAsia="Times New Roman" w:cs="Times New Roman" w:ascii="Times New Roman" w:hAnsi="Times New Roman"/>
          <w:lang w:bidi="ar-SA"/>
        </w:rPr>
      </w:r>
    </w:p>
    <w:tbl>
      <w:tblPr>
        <w:tblW w:w="5447" w:type="dxa"/>
        <w:jc w:val="left"/>
        <w:tblInd w:w="1871" w:type="dxa"/>
        <w:tblLayout w:type="fixed"/>
        <w:tblCellMar>
          <w:top w:w="55" w:type="dxa"/>
          <w:left w:w="55" w:type="dxa"/>
          <w:bottom w:w="55" w:type="dxa"/>
          <w:right w:w="55" w:type="dxa"/>
        </w:tblCellMar>
        <w:tblLook w:firstRow="1" w:noVBand="1" w:lastRow="0" w:firstColumn="1" w:lastColumn="0" w:noHBand="0" w:val="04a0"/>
      </w:tblPr>
      <w:tblGrid>
        <w:gridCol w:w="5447"/>
      </w:tblGrid>
      <w:tr>
        <w:trPr/>
        <w:tc>
          <w:tcPr>
            <w:tcW w:w="5447" w:type="dxa"/>
            <w:tcBorders/>
          </w:tcPr>
          <w:p>
            <w:pPr>
              <w:pStyle w:val="Contedodatabela"/>
              <w:rPr>
                <w:rFonts w:ascii="Times New Roman" w:hAnsi="Times New Roman" w:eastAsia="Times New Roman" w:cs="Times New Roman"/>
                <w:lang w:bidi="ar-SA"/>
              </w:rPr>
            </w:pPr>
            <w:r>
              <w:rPr>
                <w:rFonts w:eastAsia="Times New Roman" w:cs="Times New Roman" w:ascii="Times New Roman" w:hAnsi="Times New Roman"/>
                <w:lang w:bidi="ar-SA"/>
              </w:rPr>
            </w:r>
          </w:p>
          <w:p>
            <w:pPr>
              <w:pStyle w:val="Contedodatabela"/>
              <w:numPr>
                <w:ilvl w:val="0"/>
                <w:numId w:val="147"/>
              </w:numPr>
              <w:jc w:val="center"/>
              <w:rPr>
                <w:rFonts w:ascii="Times New Roman" w:hAnsi="Times New Roman" w:eastAsia="Times New Roman" w:cs="Times New Roman"/>
                <w:lang w:bidi="ar-SA"/>
              </w:rPr>
            </w:pPr>
            <w:r>
              <w:rPr>
                <w:rFonts w:eastAsia="Times New Roman" w:cs="Times New Roman" w:ascii="Times New Roman" w:hAnsi="Times New Roman"/>
                <w:lang w:bidi="ar-SA"/>
              </w:rPr>
              <w:t xml:space="preserve">Responsável pela elaboração do </w:t>
            </w:r>
          </w:p>
          <w:p>
            <w:pPr>
              <w:pStyle w:val="Contedodatabela"/>
              <w:numPr>
                <w:ilvl w:val="0"/>
                <w:numId w:val="148"/>
              </w:numPr>
              <w:jc w:val="center"/>
              <w:rPr>
                <w:rFonts w:ascii="Times New Roman" w:hAnsi="Times New Roman" w:eastAsia="Times New Roman" w:cs="Times New Roman"/>
                <w:lang w:bidi="ar-SA"/>
              </w:rPr>
            </w:pPr>
            <w:r>
              <w:rPr>
                <w:rFonts w:eastAsia="Times New Roman" w:cs="Times New Roman" w:ascii="Times New Roman" w:hAnsi="Times New Roman"/>
                <w:lang w:bidi="ar-SA"/>
              </w:rPr>
              <w:t>TERMO DE REFERÊNCIA</w:t>
            </w:r>
          </w:p>
          <w:p>
            <w:pPr>
              <w:pStyle w:val="Contedodatabela"/>
              <w:numPr>
                <w:ilvl w:val="0"/>
                <w:numId w:val="149"/>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Times New Roman" w:cs="Times New Roman"/>
                <w:lang w:bidi="ar-SA"/>
              </w:rPr>
            </w:pPr>
            <w:r>
              <w:rPr>
                <w:rFonts w:eastAsia="Times New Roman" w:cs="Times New Roman" w:ascii="Times New Roman" w:hAnsi="Times New Roman"/>
                <w:lang w:bidi="ar-SA"/>
              </w:rPr>
              <w:t>SEMMAS</w:t>
            </w:r>
          </w:p>
        </w:tc>
      </w:tr>
    </w:tbl>
    <w:p>
      <w:pPr>
        <w:pStyle w:val="ListParagraph"/>
        <w:numPr>
          <w:ilvl w:val="0"/>
          <w:numId w:val="150"/>
        </w:numPr>
        <w:jc w:val="right"/>
        <w:rPr>
          <w:rFonts w:ascii="Times New Roman" w:hAnsi="Times New Roman" w:cs="Times New Roman"/>
          <w:shd w:fill="AFD095" w:val="clear"/>
        </w:rPr>
      </w:pPr>
      <w:r>
        <w:rPr>
          <w:rFonts w:cs="Times New Roman" w:ascii="Times New Roman" w:hAnsi="Times New Roman"/>
          <w:shd w:fill="AFD095" w:val="clear"/>
        </w:rPr>
      </w:r>
      <w:r>
        <w:br w:type="page"/>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color w:val="000000"/>
          <w:shd w:fill="FFFFFF" w:val="clear"/>
          <w:lang w:bidi="ar-SA"/>
        </w:rPr>
      </w:pPr>
      <w:r>
        <w:rPr>
          <w:rFonts w:eastAsia="Arial, sans-serif" w:cs="Times New Roman" w:ascii="Times New Roman" w:hAnsi="Times New Roman"/>
          <w:b/>
          <w:bCs/>
          <w:color w:val="000000"/>
          <w:shd w:fill="FFFFFF" w:val="clear"/>
          <w:lang w:bidi="ar-SA"/>
        </w:rPr>
      </w:r>
    </w:p>
    <w:p>
      <w:pPr>
        <w:pStyle w:val="Standard"/>
        <w:widowControl/>
        <w:numPr>
          <w:ilvl w:val="0"/>
          <w:numId w:val="151"/>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bookmarkStart w:id="5" w:name="_Hlk224561725"/>
      <w:r>
        <w:rPr>
          <w:rFonts w:eastAsia="Arial, sans-serif" w:cs="Times New Roman" w:ascii="Times New Roman" w:hAnsi="Times New Roman"/>
          <w:b/>
          <w:bCs/>
          <w:color w:val="000000"/>
          <w:shd w:fill="FFFFFF" w:val="clear"/>
          <w:lang w:bidi="ar-SA"/>
        </w:rPr>
        <w:t>ANEXO I</w:t>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MT" w:cs="Times New Roman"/>
          <w:b/>
          <w:bCs/>
          <w:lang w:eastAsia="ar-SA" w:bidi="ar-SA"/>
        </w:rPr>
      </w:pPr>
      <w:r>
        <w:rPr>
          <w:rFonts w:eastAsia="ArialMT" w:cs="Times New Roman" w:ascii="Times New Roman" w:hAnsi="Times New Roman"/>
          <w:b/>
          <w:bCs/>
          <w:lang w:eastAsia="ar-SA"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MT" w:cs="Times New Roman"/>
          <w:b/>
          <w:bCs/>
          <w:lang w:eastAsia="ar-SA" w:bidi="ar-SA"/>
        </w:rPr>
      </w:pPr>
      <w:bookmarkStart w:id="6" w:name="_Hlk224561725"/>
      <w:r>
        <w:rPr>
          <w:rFonts w:eastAsia="ArialMT" w:cs="Times New Roman" w:ascii="Times New Roman" w:hAnsi="Times New Roman"/>
          <w:b/>
          <w:bCs/>
          <w:lang w:eastAsia="ar-SA" w:bidi="ar-SA"/>
        </w:rPr>
        <w:t>FORMA E CRITÉRIOS DE SELEÇÃO DA(S) PARTICIPANTE(S)</w:t>
      </w:r>
      <w:bookmarkEnd w:id="6"/>
    </w:p>
    <w:p>
      <w:pPr>
        <w:pStyle w:val="Heading1"/>
        <w:jc w:val="left"/>
        <w:rPr>
          <w:rFonts w:ascii="Times New Roman" w:hAnsi="Times New Roman" w:cs="Times New Roman"/>
          <w:sz w:val="24"/>
          <w:lang w:eastAsia="en-US" w:bidi="ar-SA"/>
        </w:rPr>
      </w:pPr>
      <w:r>
        <w:rPr>
          <w:rFonts w:cs="Times New Roman" w:ascii="Times New Roman" w:hAnsi="Times New Roman"/>
          <w:sz w:val="24"/>
          <w:lang w:eastAsia="en-US" w:bidi="ar-SA"/>
        </w:rPr>
      </w:r>
    </w:p>
    <w:p>
      <w:pPr>
        <w:pStyle w:val="Heading1"/>
        <w:jc w:val="left"/>
        <w:rPr>
          <w:rFonts w:ascii="Times New Roman" w:hAnsi="Times New Roman" w:cs="Times New Roman"/>
          <w:sz w:val="24"/>
          <w:lang w:eastAsia="en-US" w:bidi="ar-SA"/>
        </w:rPr>
      </w:pPr>
      <w:r>
        <w:rPr>
          <w:rFonts w:cs="Times New Roman" w:ascii="Times New Roman" w:hAnsi="Times New Roman"/>
          <w:sz w:val="24"/>
          <w:lang w:eastAsia="en-US" w:bidi="ar-SA"/>
        </w:rPr>
      </w:r>
    </w:p>
    <w:p>
      <w:pPr>
        <w:pStyle w:val="Heading1"/>
        <w:jc w:val="left"/>
        <w:rPr>
          <w:rFonts w:ascii="Times New Roman" w:hAnsi="Times New Roman" w:cs="Times New Roman"/>
          <w:sz w:val="24"/>
          <w:lang w:eastAsia="en-US" w:bidi="ar-SA"/>
        </w:rPr>
      </w:pPr>
      <w:r>
        <w:rPr>
          <w:rFonts w:cs="Times New Roman" w:ascii="Times New Roman" w:hAnsi="Times New Roman"/>
          <w:sz w:val="24"/>
          <w:lang w:eastAsia="en-US" w:bidi="ar-SA"/>
        </w:rPr>
      </w:r>
    </w:p>
    <w:p>
      <w:pPr>
        <w:pStyle w:val="Heading1"/>
        <w:jc w:val="left"/>
        <w:rPr/>
      </w:pPr>
      <w:r>
        <w:rPr>
          <w:rFonts w:cs="Times New Roman" w:ascii="Times New Roman" w:hAnsi="Times New Roman"/>
          <w:sz w:val="24"/>
          <w:lang w:eastAsia="en-US" w:bidi="ar-SA"/>
        </w:rPr>
        <w:t>1. FORMA DE SELEÇÃO E CRITÉRIO DE JULGAMENTO</w:t>
      </w:r>
    </w:p>
    <w:p>
      <w:pPr>
        <w:pStyle w:val="Nivel2"/>
        <w:numPr>
          <w:ilvl w:val="0"/>
          <w:numId w:val="152"/>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uto" w:line="240" w:before="0" w:after="0"/>
        <w:textAlignment w:val="top"/>
        <w:rPr>
          <w:rFonts w:ascii="Times New Roman" w:hAnsi="Times New Roman" w:eastAsia="ArialMT" w:cs="Times New Roman"/>
          <w:b/>
          <w:bCs/>
          <w:color w:val="auto"/>
          <w:sz w:val="24"/>
          <w:szCs w:val="24"/>
          <w:lang w:eastAsia="ar-SA" w:bidi="ar-SA"/>
        </w:rPr>
      </w:pPr>
      <w:r>
        <w:rPr>
          <w:rFonts w:eastAsia="ArialMT" w:cs="Times New Roman" w:ascii="Times New Roman" w:hAnsi="Times New Roman"/>
          <w:b/>
          <w:bCs/>
          <w:color w:val="auto"/>
          <w:sz w:val="24"/>
          <w:szCs w:val="24"/>
          <w:lang w:eastAsia="ar-SA" w:bidi="ar-SA"/>
        </w:rPr>
      </w:r>
    </w:p>
    <w:p>
      <w:pPr>
        <w:pStyle w:val="Nivel2"/>
        <w:numPr>
          <w:ilvl w:val="0"/>
          <w:numId w:val="153"/>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uto" w:line="240" w:before="0" w:after="0"/>
        <w:textAlignment w:val="top"/>
        <w:rPr/>
      </w:pPr>
      <w:r>
        <w:rPr>
          <w:rFonts w:eastAsia="ArialMT" w:cs="Times New Roman" w:ascii="Times New Roman" w:hAnsi="Times New Roman"/>
          <w:b/>
          <w:bCs/>
          <w:color w:val="auto"/>
          <w:sz w:val="24"/>
          <w:szCs w:val="24"/>
          <w:lang w:eastAsia="ar-SA" w:bidi="ar-SA"/>
        </w:rPr>
        <w:t xml:space="preserve">1.1. </w:t>
      </w:r>
      <w:r>
        <w:rPr>
          <w:rFonts w:eastAsia="ArialMT" w:cs="Times New Roman" w:ascii="Times New Roman" w:hAnsi="Times New Roman"/>
          <w:color w:val="auto"/>
          <w:sz w:val="24"/>
          <w:szCs w:val="24"/>
          <w:lang w:eastAsia="ar-SA" w:bidi="ar-SA"/>
        </w:rPr>
        <w:t xml:space="preserve">A(s) participante(s) será(ão) selecionada(s) por meio da realização de procedimento de licitação, na modalidade </w:t>
      </w:r>
      <w:r>
        <w:rPr>
          <w:rFonts w:eastAsia="ArialMT" w:cs="Times New Roman" w:ascii="Times New Roman" w:hAnsi="Times New Roman"/>
          <w:b/>
          <w:bCs/>
          <w:color w:val="auto"/>
          <w:sz w:val="24"/>
          <w:szCs w:val="24"/>
          <w:lang w:eastAsia="ar-SA" w:bidi="ar-SA"/>
        </w:rPr>
        <w:t>CONCORRÊNCIA</w:t>
      </w:r>
      <w:r>
        <w:rPr>
          <w:rFonts w:eastAsia="ArialMT" w:cs="Times New Roman" w:ascii="Times New Roman" w:hAnsi="Times New Roman"/>
          <w:color w:val="auto"/>
          <w:sz w:val="24"/>
          <w:szCs w:val="24"/>
          <w:lang w:eastAsia="ar-SA" w:bidi="ar-SA"/>
        </w:rPr>
        <w:t xml:space="preserve">, sob a forma </w:t>
      </w:r>
      <w:r>
        <w:rPr>
          <w:rFonts w:eastAsia="ArialMT" w:cs="Times New Roman" w:ascii="Times New Roman" w:hAnsi="Times New Roman"/>
          <w:b/>
          <w:bCs/>
          <w:color w:val="auto"/>
          <w:sz w:val="24"/>
          <w:szCs w:val="24"/>
          <w:lang w:eastAsia="ar-SA" w:bidi="ar-SA"/>
        </w:rPr>
        <w:t>PRESENCIAL</w:t>
      </w:r>
      <w:r>
        <w:rPr>
          <w:rFonts w:cs="Times New Roman" w:ascii="Times New Roman" w:hAnsi="Times New Roman"/>
          <w:color w:val="auto"/>
          <w:sz w:val="24"/>
          <w:szCs w:val="24"/>
          <w:lang w:eastAsia="ar-SA" w:bidi="ar-SA"/>
        </w:rPr>
        <w:t>.</w:t>
      </w:r>
    </w:p>
    <w:p>
      <w:pPr>
        <w:pStyle w:val="Nivel2"/>
        <w:numPr>
          <w:ilvl w:val="0"/>
          <w:numId w:val="154"/>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uto" w:line="240" w:before="0" w:after="0"/>
        <w:textAlignment w:val="top"/>
        <w:rPr>
          <w:rFonts w:ascii="Times New Roman" w:hAnsi="Times New Roman" w:eastAsia="ArialMT" w:cs="Times New Roman"/>
          <w:color w:val="auto"/>
          <w:sz w:val="24"/>
          <w:szCs w:val="24"/>
          <w:lang w:eastAsia="ar-SA" w:bidi="ar-SA"/>
        </w:rPr>
      </w:pPr>
      <w:r>
        <w:rPr>
          <w:rFonts w:eastAsia="ArialMT" w:cs="Times New Roman" w:ascii="Times New Roman" w:hAnsi="Times New Roman"/>
          <w:color w:val="auto"/>
          <w:sz w:val="24"/>
          <w:szCs w:val="24"/>
          <w:lang w:eastAsia="ar-SA" w:bidi="ar-SA"/>
        </w:rPr>
      </w:r>
    </w:p>
    <w:p>
      <w:pPr>
        <w:pStyle w:val="Standard"/>
        <w:widowControl/>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rPr>
        <w:t>2. PREENCHIMENTO DA PROPOSTA E DA CLASSIFICAÇÃO</w:t>
      </w:r>
    </w:p>
    <w:p>
      <w:pPr>
        <w:pStyle w:val="Standard"/>
        <w:widowControl/>
        <w:numPr>
          <w:ilvl w:val="1"/>
          <w:numId w:val="155"/>
        </w:numPr>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lang w:eastAsia="ar-SA" w:bidi="ar-SA"/>
        </w:rPr>
      </w:pPr>
      <w:r>
        <w:rPr>
          <w:rFonts w:eastAsia="ArialMT" w:cs="Times New Roman" w:ascii="Times New Roman" w:hAnsi="Times New Roman"/>
          <w:lang w:eastAsia="ar-SA" w:bidi="ar-SA"/>
        </w:rPr>
      </w:r>
    </w:p>
    <w:p>
      <w:pPr>
        <w:pStyle w:val="Standard"/>
        <w:widowControl/>
        <w:numPr>
          <w:ilvl w:val="1"/>
          <w:numId w:val="156"/>
        </w:numPr>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lang w:eastAsia="ar-SA" w:bidi="ar-SA"/>
        </w:rPr>
        <w:t xml:space="preserve">2.1. </w:t>
      </w:r>
      <w:r>
        <w:rPr>
          <w:rFonts w:eastAsia="ArialMT" w:cs="Times New Roman" w:ascii="Times New Roman" w:hAnsi="Times New Roman"/>
          <w:bCs/>
          <w:lang w:eastAsia="ar-SA" w:bidi="ar-SA"/>
        </w:rPr>
        <w:t>Serão apresentados dois envelopes, conforme descrito nos itens 3 e 4, abaixo, com a finalidade de classificação de até quatro empresas</w:t>
      </w:r>
      <w:r>
        <w:rPr>
          <w:rFonts w:eastAsia="ArialMT" w:cs="Times New Roman" w:ascii="Times New Roman" w:hAnsi="Times New Roman"/>
          <w:color w:val="000000"/>
          <w:lang w:eastAsia="ar-SA" w:bidi="ar-SA"/>
        </w:rPr>
        <w:t>.</w:t>
      </w:r>
    </w:p>
    <w:p>
      <w:pPr>
        <w:pStyle w:val="Standard"/>
        <w:numPr>
          <w:ilvl w:val="0"/>
          <w:numId w:val="157"/>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cs="Times New Roman"/>
          <w:shd w:fill="FFFF00" w:val="clear"/>
          <w:lang w:eastAsia="ar-SA" w:bidi="ar-SA"/>
        </w:rPr>
      </w:pPr>
      <w:r>
        <w:rPr>
          <w:rFonts w:cs="Times New Roman" w:ascii="Times New Roman" w:hAnsi="Times New Roman"/>
          <w:shd w:fill="FFFF00" w:val="clear"/>
          <w:lang w:eastAsia="ar-SA" w:bidi="ar-SA"/>
        </w:rPr>
      </w:r>
    </w:p>
    <w:p>
      <w:pPr>
        <w:pStyle w:val="Standard"/>
        <w:widowControl/>
        <w:numPr>
          <w:ilvl w:val="0"/>
          <w:numId w:val="158"/>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eastAsia="ArialMT" w:cs="Times New Roman" w:ascii="Times New Roman" w:hAnsi="Times New Roman"/>
          <w:b/>
          <w:bCs/>
          <w:lang w:eastAsia="ar-SA" w:bidi="ar-SA"/>
        </w:rPr>
        <w:t xml:space="preserve">3. </w:t>
      </w:r>
      <w:r>
        <w:rPr>
          <w:rFonts w:eastAsia="Times New Roman" w:cs="Times New Roman" w:ascii="Times New Roman" w:hAnsi="Times New Roman"/>
          <w:b/>
          <w:bCs/>
          <w:lang w:bidi="ar-SA"/>
        </w:rPr>
        <w:t>DA HABILITAÇÃO – Envelope n.º 1</w:t>
      </w:r>
    </w:p>
    <w:p>
      <w:pPr>
        <w:pStyle w:val="BodyText22"/>
        <w:widowControl/>
        <w:numPr>
          <w:ilvl w:val="0"/>
          <w:numId w:val="159"/>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widowControl/>
        <w:numPr>
          <w:ilvl w:val="0"/>
          <w:numId w:val="160"/>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pPr>
      <w:r>
        <w:rPr>
          <w:rFonts w:eastAsia="ArialMT" w:cs="Times New Roman" w:ascii="Times New Roman" w:hAnsi="Times New Roman"/>
          <w:b/>
          <w:bCs/>
          <w:lang w:eastAsia="ar-SA" w:bidi="ar-SA"/>
        </w:rPr>
        <w:t>3.1.</w:t>
      </w:r>
      <w:r>
        <w:rPr>
          <w:rFonts w:eastAsia="ArialMT" w:cs="Times New Roman" w:ascii="Times New Roman" w:hAnsi="Times New Roman"/>
          <w:bCs/>
          <w:color w:val="000000"/>
          <w:lang w:eastAsia="ar-SA" w:bidi="ar-SA"/>
        </w:rPr>
        <w:t xml:space="preserve"> </w:t>
      </w:r>
      <w:r>
        <w:rPr>
          <w:rFonts w:eastAsia="ArialMT" w:cs="Times New Roman" w:ascii="Times New Roman" w:hAnsi="Times New Roman"/>
          <w:lang w:eastAsia="ar-SA" w:bidi="ar-SA"/>
        </w:rPr>
        <w:t>Para fins de habilitação, deverão ser encaminhados os seguintes documentos, em 1 (uma) via, original ou cópia autenticada por Tabelião, ou previamente por servidor da Central de Licitações – CENLIC, nos termos do Edital ou publicação em órgão de imprensa oficial:</w:t>
      </w:r>
    </w:p>
    <w:p>
      <w:pPr>
        <w:pStyle w:val="Standard"/>
        <w:widowControl/>
        <w:numPr>
          <w:ilvl w:val="0"/>
          <w:numId w:val="161"/>
        </w:numPr>
        <w:tabs>
          <w:tab w:val="clear" w:pos="720"/>
          <w:tab w:val="left" w:pos="7828" w:leader="none"/>
          <w:tab w:val="left" w:pos="8674" w:leader="none"/>
          <w:tab w:val="left" w:pos="9268" w:leader="none"/>
          <w:tab w:val="left" w:pos="9988" w:leader="none"/>
          <w:tab w:val="left" w:pos="10708" w:leader="none"/>
          <w:tab w:val="left" w:pos="11428" w:leader="none"/>
          <w:tab w:val="left" w:pos="12148" w:leader="none"/>
          <w:tab w:val="left" w:pos="12868" w:leader="none"/>
          <w:tab w:val="left" w:pos="13588" w:leader="none"/>
          <w:tab w:val="left" w:pos="14308" w:leader="none"/>
        </w:tabs>
        <w:jc w:val="both"/>
        <w:textAlignment w:val="top"/>
        <w:rPr>
          <w:rFonts w:ascii="Times New Roman" w:hAnsi="Times New Roman" w:eastAsia="ArialMT" w:cs="Times New Roman"/>
          <w:b/>
          <w:bCs/>
          <w:lang w:bidi="ar-SA"/>
        </w:rPr>
      </w:pPr>
      <w:r>
        <w:rPr>
          <w:rFonts w:eastAsia="ArialMT" w:cs="Times New Roman" w:ascii="Times New Roman" w:hAnsi="Times New Roman"/>
          <w:b/>
          <w:bCs/>
          <w:lang w:bidi="ar-SA"/>
        </w:rPr>
      </w:r>
    </w:p>
    <w:p>
      <w:pPr>
        <w:pStyle w:val="ListParagraph"/>
        <w:numPr>
          <w:ilvl w:val="0"/>
          <w:numId w:val="162"/>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pPr>
      <w:r>
        <w:rPr>
          <w:rFonts w:eastAsia="ArialMT" w:cs="Times New Roman" w:ascii="Times New Roman" w:hAnsi="Times New Roman"/>
          <w:b/>
          <w:bCs/>
          <w:color w:val="000000"/>
          <w:lang w:eastAsia="ar-SA" w:bidi="ar-SA"/>
        </w:rPr>
        <w:t xml:space="preserve">3.1.1. </w:t>
      </w:r>
      <w:r>
        <w:rPr>
          <w:rFonts w:eastAsia="ArialMT" w:cs="Times New Roman" w:ascii="Times New Roman" w:hAnsi="Times New Roman"/>
          <w:b/>
          <w:bCs/>
          <w:color w:val="000000"/>
          <w:u w:val="single"/>
          <w:lang w:eastAsia="ar-SA" w:bidi="ar-SA"/>
        </w:rPr>
        <w:t>Habilitação Jurídica</w:t>
      </w:r>
    </w:p>
    <w:p>
      <w:pPr>
        <w:pStyle w:val="ListParagraph"/>
        <w:numPr>
          <w:ilvl w:val="0"/>
          <w:numId w:val="163"/>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rFonts w:ascii="Times New Roman" w:hAnsi="Times New Roman" w:eastAsia="ArialMT" w:cs="Times New Roman"/>
          <w:b/>
          <w:bCs/>
          <w:color w:val="000000"/>
          <w:u w:val="single"/>
          <w:shd w:fill="FFFF00" w:val="clear"/>
          <w:lang w:eastAsia="ar-SA" w:bidi="ar-SA"/>
        </w:rPr>
      </w:pPr>
      <w:r>
        <w:rPr>
          <w:rFonts w:eastAsia="ArialMT" w:cs="Times New Roman" w:ascii="Times New Roman" w:hAnsi="Times New Roman"/>
          <w:b/>
          <w:bCs/>
          <w:color w:val="000000"/>
          <w:u w:val="single"/>
          <w:shd w:fill="FFFF00" w:val="clear"/>
          <w:lang w:eastAsia="ar-SA" w:bidi="ar-SA"/>
        </w:rPr>
      </w:r>
    </w:p>
    <w:p>
      <w:pPr>
        <w:pStyle w:val="ListParagraph"/>
        <w:keepLines/>
        <w:numPr>
          <w:ilvl w:val="0"/>
          <w:numId w:val="164"/>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cs="Times New Roman" w:ascii="Times New Roman" w:hAnsi="Times New Roman"/>
          <w:b/>
        </w:rPr>
        <w:t>I - Registro Comercial, Ato Constitutivo</w:t>
      </w:r>
      <w:r>
        <w:rPr>
          <w:rFonts w:cs="Times New Roman" w:ascii="Times New Roman" w:hAnsi="Times New Roman"/>
        </w:rPr>
        <w:t>,</w:t>
      </w:r>
      <w:r>
        <w:rPr>
          <w:rFonts w:cs="Times New Roman" w:ascii="Times New Roman" w:hAnsi="Times New Roman"/>
          <w:b/>
        </w:rPr>
        <w:t xml:space="preserve"> Estatuto ou Contrato Social </w:t>
      </w:r>
      <w:r>
        <w:rPr>
          <w:rFonts w:cs="Times New Roman" w:ascii="Times New Roman" w:hAnsi="Times New Roman"/>
        </w:rPr>
        <w:t xml:space="preserve">e suas alterações, se houver, devidamente registrado na Junta Comercial, em se tratando de sociedades comerciais, acompanhado, no caso de sociedade por ações, de documento de eleição de seus atuais administradores; inscrição do ato constitutivo, no caso de sociedade civil, acompanhada de prova da diretoria em exercício; ou decreto de autorização, em se tratando de empresa ou sociedade estrangeira em funcionamento no País, </w:t>
      </w:r>
      <w:r>
        <w:rPr>
          <w:rFonts w:cs="Times New Roman" w:ascii="Times New Roman" w:hAnsi="Times New Roman"/>
          <w:b/>
        </w:rPr>
        <w:t>em vigor</w:t>
      </w:r>
      <w:r>
        <w:rPr>
          <w:rFonts w:cs="Times New Roman" w:ascii="Times New Roman" w:hAnsi="Times New Roman"/>
        </w:rPr>
        <w:t>.</w:t>
      </w:r>
    </w:p>
    <w:p>
      <w:pPr>
        <w:pStyle w:val="ListParagraph"/>
        <w:keepLines/>
        <w:numPr>
          <w:ilvl w:val="0"/>
          <w:numId w:val="165"/>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cs="Times New Roman"/>
          <w:b/>
        </w:rPr>
      </w:pPr>
      <w:r>
        <w:rPr>
          <w:rFonts w:cs="Times New Roman" w:ascii="Times New Roman" w:hAnsi="Times New Roman"/>
          <w:b/>
        </w:rPr>
      </w:r>
    </w:p>
    <w:p>
      <w:pPr>
        <w:pStyle w:val="ListParagraph"/>
        <w:keepLines/>
        <w:numPr>
          <w:ilvl w:val="0"/>
          <w:numId w:val="166"/>
        </w:numPr>
        <w:tabs>
          <w:tab w:val="clear" w:pos="720"/>
          <w:tab w:val="left" w:pos="8890" w:leader="none"/>
          <w:tab w:val="left" w:pos="9270" w:leader="none"/>
          <w:tab w:val="left" w:pos="9834" w:leader="none"/>
          <w:tab w:val="left" w:pos="10554" w:leader="none"/>
          <w:tab w:val="left" w:pos="11274" w:leader="none"/>
          <w:tab w:val="left" w:pos="11994" w:leader="none"/>
          <w:tab w:val="left" w:pos="12714" w:leader="none"/>
          <w:tab w:val="left" w:pos="13434" w:leader="none"/>
          <w:tab w:val="left" w:pos="14154" w:leader="none"/>
          <w:tab w:val="left" w:pos="14874" w:leader="none"/>
        </w:tabs>
        <w:ind w:left="850"/>
        <w:jc w:val="both"/>
        <w:textAlignment w:val="top"/>
        <w:rPr/>
      </w:pPr>
      <w:r>
        <w:rPr>
          <w:rFonts w:cs="Times New Roman" w:ascii="Times New Roman" w:hAnsi="Times New Roman"/>
          <w:b/>
        </w:rPr>
        <w:t>a)</w:t>
      </w:r>
      <w:r>
        <w:rPr>
          <w:rFonts w:cs="Times New Roman" w:ascii="Times New Roman" w:hAnsi="Times New Roman"/>
        </w:rPr>
        <w:t xml:space="preserve"> A licitante poderá apresentar a versão consolidada do documento solicitado acima, devendo vir acompanhado de todas as alterações </w:t>
      </w:r>
      <w:r>
        <w:rPr>
          <w:rFonts w:cs="Times New Roman" w:ascii="Times New Roman" w:hAnsi="Times New Roman"/>
          <w:b/>
        </w:rPr>
        <w:t>posteriores</w:t>
      </w:r>
      <w:r>
        <w:rPr>
          <w:rFonts w:cs="Times New Roman" w:ascii="Times New Roman" w:hAnsi="Times New Roman"/>
        </w:rPr>
        <w:t>, caso houver.</w:t>
      </w:r>
    </w:p>
    <w:p>
      <w:pPr>
        <w:pStyle w:val="ListParagraph"/>
        <w:numPr>
          <w:ilvl w:val="0"/>
          <w:numId w:val="167"/>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ArialMT" w:cs="Times New Roman"/>
          <w:b/>
          <w:bCs/>
          <w:color w:val="000000"/>
          <w:lang w:eastAsia="ar-SA" w:bidi="ar-SA"/>
        </w:rPr>
      </w:pPr>
      <w:r>
        <w:rPr>
          <w:rFonts w:eastAsia="ArialMT" w:cs="Times New Roman" w:ascii="Times New Roman" w:hAnsi="Times New Roman"/>
          <w:b/>
          <w:bCs/>
          <w:color w:val="000000"/>
          <w:lang w:eastAsia="ar-SA" w:bidi="ar-SA"/>
        </w:rPr>
      </w:r>
    </w:p>
    <w:p>
      <w:pPr>
        <w:pStyle w:val="ListParagraph"/>
        <w:numPr>
          <w:ilvl w:val="0"/>
          <w:numId w:val="168"/>
        </w:numPr>
        <w:tabs>
          <w:tab w:val="clear" w:pos="720"/>
          <w:tab w:val="left" w:pos="8890" w:leader="none"/>
          <w:tab w:val="left" w:pos="9270" w:leader="none"/>
          <w:tab w:val="left" w:pos="9834" w:leader="none"/>
          <w:tab w:val="left" w:pos="10554" w:leader="none"/>
          <w:tab w:val="left" w:pos="11274" w:leader="none"/>
          <w:tab w:val="left" w:pos="11994" w:leader="none"/>
          <w:tab w:val="left" w:pos="12714" w:leader="none"/>
          <w:tab w:val="left" w:pos="13434" w:leader="none"/>
          <w:tab w:val="left" w:pos="14154" w:leader="none"/>
          <w:tab w:val="left" w:pos="14874" w:leader="none"/>
        </w:tabs>
        <w:ind w:left="850"/>
        <w:jc w:val="both"/>
        <w:textAlignment w:val="top"/>
        <w:rPr/>
      </w:pPr>
      <w:r>
        <w:rPr>
          <w:rFonts w:eastAsia="ArialMT" w:cs="Times New Roman" w:ascii="Times New Roman" w:hAnsi="Times New Roman"/>
          <w:b/>
          <w:bCs/>
          <w:color w:val="000000"/>
          <w:lang w:eastAsia="ar-SA" w:bidi="ar-SA"/>
        </w:rPr>
        <w:t>b)</w:t>
      </w:r>
      <w:r>
        <w:rPr>
          <w:rFonts w:eastAsia="ArialMT" w:cs="Times New Roman" w:ascii="Times New Roman" w:hAnsi="Times New Roman"/>
          <w:bCs/>
          <w:color w:val="000000"/>
          <w:lang w:eastAsia="ar-SA" w:bidi="ar-SA"/>
        </w:rPr>
        <w:t xml:space="preserve"> Somente</w:t>
      </w:r>
      <w:r>
        <w:rPr>
          <w:rFonts w:eastAsia="ArialMT" w:cs="Times New Roman" w:ascii="Times New Roman" w:hAnsi="Times New Roman"/>
          <w:b/>
          <w:bCs/>
          <w:color w:val="000000"/>
          <w:lang w:eastAsia="ar-SA" w:bidi="ar-SA"/>
        </w:rPr>
        <w:t xml:space="preserve"> </w:t>
      </w:r>
      <w:r>
        <w:rPr>
          <w:rFonts w:eastAsia="ArialMT" w:cs="Times New Roman" w:ascii="Times New Roman" w:hAnsi="Times New Roman"/>
          <w:bCs/>
          <w:color w:val="000000"/>
          <w:lang w:eastAsia="ar-SA" w:bidi="ar-SA"/>
        </w:rPr>
        <w:t>será(ão) habilitado(s) a(s) participante(s) que apresentar(em), além de toda a documentação exigida, o ramo pertinente ao objeto desta contratação no seu objeto social.</w:t>
      </w:r>
    </w:p>
    <w:p>
      <w:pPr>
        <w:pStyle w:val="ListParagraph"/>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ArialMT" w:cs="Times New Roman"/>
          <w:color w:val="000000"/>
          <w:shd w:fill="FFFF00" w:val="clear"/>
          <w:lang w:eastAsia="ar-SA" w:bidi="ar-SA"/>
        </w:rPr>
      </w:pPr>
      <w:r>
        <w:rPr>
          <w:rFonts w:eastAsia="ArialMT" w:cs="Times New Roman" w:ascii="Times New Roman" w:hAnsi="Times New Roman"/>
          <w:color w:val="000000"/>
          <w:shd w:fill="FFFF00" w:val="clear"/>
          <w:lang w:eastAsia="ar-SA" w:bidi="ar-SA"/>
        </w:rPr>
      </w:r>
    </w:p>
    <w:p>
      <w:pPr>
        <w:pStyle w:val="ListParagraph"/>
        <w:keepLines/>
        <w:numPr>
          <w:ilvl w:val="0"/>
          <w:numId w:val="169"/>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pPr>
      <w:r>
        <w:rPr>
          <w:rFonts w:cs="Times New Roman" w:ascii="Times New Roman" w:hAnsi="Times New Roman"/>
          <w:b/>
          <w:bCs/>
        </w:rPr>
        <w:t xml:space="preserve">3.1.2. </w:t>
      </w:r>
      <w:r>
        <w:rPr>
          <w:rFonts w:cs="Times New Roman" w:ascii="Times New Roman" w:hAnsi="Times New Roman"/>
          <w:b/>
          <w:bCs/>
          <w:u w:val="single"/>
        </w:rPr>
        <w:t>Habilitação Fiscal</w:t>
      </w:r>
    </w:p>
    <w:p>
      <w:pPr>
        <w:pStyle w:val="ListParagraph"/>
        <w:keepLines/>
        <w:numPr>
          <w:ilvl w:val="0"/>
          <w:numId w:val="170"/>
        </w:numPr>
        <w:tabs>
          <w:tab w:val="clear" w:pos="720"/>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b/>
          <w:u w:val="single"/>
        </w:rPr>
      </w:pPr>
      <w:r>
        <w:rPr>
          <w:rFonts w:cs="Times New Roman" w:ascii="Times New Roman" w:hAnsi="Times New Roman"/>
          <w:b/>
          <w:u w:val="single"/>
        </w:rPr>
      </w:r>
    </w:p>
    <w:p>
      <w:pPr>
        <w:pStyle w:val="ListParagraph"/>
        <w:keepLines/>
        <w:numPr>
          <w:ilvl w:val="0"/>
          <w:numId w:val="171"/>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cs="Times New Roman" w:ascii="Times New Roman" w:hAnsi="Times New Roman"/>
          <w:b/>
        </w:rPr>
        <w:t>I -</w:t>
      </w:r>
      <w:r>
        <w:rPr>
          <w:rFonts w:cs="Times New Roman" w:ascii="Times New Roman" w:hAnsi="Times New Roman"/>
        </w:rPr>
        <w:t xml:space="preserve"> Prova de Regularidade com a </w:t>
      </w:r>
      <w:r>
        <w:rPr>
          <w:rFonts w:cs="Times New Roman" w:ascii="Times New Roman" w:hAnsi="Times New Roman"/>
          <w:b/>
        </w:rPr>
        <w:t>Fazenda Federal</w:t>
      </w:r>
      <w:r>
        <w:rPr>
          <w:rFonts w:cs="Times New Roman" w:ascii="Times New Roman" w:hAnsi="Times New Roman"/>
        </w:rPr>
        <w:t xml:space="preserve">, mediante a apresentação da </w:t>
      </w:r>
      <w:r>
        <w:rPr>
          <w:rFonts w:cs="Times New Roman" w:ascii="Times New Roman" w:hAnsi="Times New Roman"/>
          <w:b/>
          <w:bCs/>
        </w:rPr>
        <w:t>Certidão de</w:t>
      </w:r>
      <w:r>
        <w:rPr>
          <w:rFonts w:cs="Times New Roman" w:ascii="Times New Roman" w:hAnsi="Times New Roman"/>
        </w:rPr>
        <w:t xml:space="preserve"> </w:t>
      </w:r>
      <w:r>
        <w:rPr>
          <w:rFonts w:cs="Times New Roman" w:ascii="Times New Roman" w:hAnsi="Times New Roman"/>
          <w:b/>
        </w:rPr>
        <w:t>Tributos e Contribuições Federais</w:t>
      </w:r>
      <w:r>
        <w:rPr>
          <w:rFonts w:cs="Times New Roman" w:ascii="Times New Roman" w:hAnsi="Times New Roman"/>
        </w:rPr>
        <w:t xml:space="preserve"> e </w:t>
      </w:r>
      <w:r>
        <w:rPr>
          <w:rFonts w:cs="Times New Roman" w:ascii="Times New Roman" w:hAnsi="Times New Roman"/>
          <w:b/>
        </w:rPr>
        <w:t>Dívida Ativa da União</w:t>
      </w:r>
      <w:r>
        <w:rPr>
          <w:rFonts w:cs="Times New Roman" w:ascii="Times New Roman" w:hAnsi="Times New Roman"/>
        </w:rPr>
        <w:t xml:space="preserve">, abrangendo inclusive as </w:t>
      </w:r>
      <w:r>
        <w:rPr>
          <w:rFonts w:cs="Times New Roman" w:ascii="Times New Roman" w:hAnsi="Times New Roman"/>
          <w:b/>
          <w:bCs/>
        </w:rPr>
        <w:t>contribuições sociais</w:t>
      </w:r>
      <w:r>
        <w:rPr>
          <w:rFonts w:cs="Times New Roman" w:ascii="Times New Roman" w:hAnsi="Times New Roman"/>
        </w:rPr>
        <w:t xml:space="preserve"> previstas nas alíneas 'a' a 'd' do parágrafo único do art. 11 da Lei n.° 8.212, de 24 de julho de 1991, </w:t>
      </w:r>
      <w:r>
        <w:rPr>
          <w:rFonts w:cs="Times New Roman" w:ascii="Times New Roman" w:hAnsi="Times New Roman"/>
          <w:b/>
          <w:bCs/>
        </w:rPr>
        <w:t>em vigor.</w:t>
      </w:r>
    </w:p>
    <w:p>
      <w:pPr>
        <w:pStyle w:val="ListParagraph"/>
        <w:keepLines/>
        <w:numPr>
          <w:ilvl w:val="0"/>
          <w:numId w:val="172"/>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rFonts w:ascii="Times New Roman" w:hAnsi="Times New Roman" w:cs="Times New Roman"/>
          <w:b/>
          <w:bCs/>
        </w:rPr>
      </w:pPr>
      <w:r>
        <w:rPr>
          <w:rFonts w:cs="Times New Roman" w:ascii="Times New Roman" w:hAnsi="Times New Roman"/>
          <w:b/>
          <w:bCs/>
        </w:rPr>
      </w:r>
    </w:p>
    <w:p>
      <w:pPr>
        <w:pStyle w:val="ListParagraph"/>
        <w:keepLines/>
        <w:numPr>
          <w:ilvl w:val="0"/>
          <w:numId w:val="173"/>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cs="Times New Roman" w:ascii="Times New Roman" w:hAnsi="Times New Roman"/>
          <w:b/>
        </w:rPr>
        <w:t>II -</w:t>
      </w:r>
      <w:r>
        <w:rPr>
          <w:rFonts w:cs="Times New Roman" w:ascii="Times New Roman" w:hAnsi="Times New Roman"/>
        </w:rPr>
        <w:t xml:space="preserve"> Prova de Regularidade com a </w:t>
      </w:r>
      <w:r>
        <w:rPr>
          <w:rFonts w:cs="Times New Roman" w:ascii="Times New Roman" w:hAnsi="Times New Roman"/>
          <w:b/>
        </w:rPr>
        <w:t>Fazenda Estadual</w:t>
      </w:r>
      <w:r>
        <w:rPr>
          <w:rFonts w:cs="Times New Roman" w:ascii="Times New Roman" w:hAnsi="Times New Roman"/>
        </w:rPr>
        <w:t xml:space="preserve">, </w:t>
      </w:r>
      <w:r>
        <w:rPr>
          <w:rFonts w:cs="Times New Roman" w:ascii="Times New Roman" w:hAnsi="Times New Roman"/>
          <w:b/>
        </w:rPr>
        <w:t>em vigor</w:t>
      </w:r>
      <w:r>
        <w:rPr>
          <w:rFonts w:cs="Times New Roman" w:ascii="Times New Roman" w:hAnsi="Times New Roman"/>
        </w:rPr>
        <w:t>.</w:t>
      </w:r>
    </w:p>
    <w:p>
      <w:pPr>
        <w:pStyle w:val="ListParagraph"/>
        <w:keepLines/>
        <w:numPr>
          <w:ilvl w:val="0"/>
          <w:numId w:val="174"/>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rFonts w:ascii="Times New Roman" w:hAnsi="Times New Roman" w:cs="Times New Roman"/>
          <w:b/>
        </w:rPr>
      </w:pPr>
      <w:r>
        <w:rPr>
          <w:rFonts w:cs="Times New Roman" w:ascii="Times New Roman" w:hAnsi="Times New Roman"/>
          <w:b/>
        </w:rPr>
      </w:r>
    </w:p>
    <w:p>
      <w:pPr>
        <w:pStyle w:val="ListParagraph"/>
        <w:keepLines/>
        <w:numPr>
          <w:ilvl w:val="0"/>
          <w:numId w:val="175"/>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cs="Times New Roman" w:ascii="Times New Roman" w:hAnsi="Times New Roman"/>
          <w:b/>
        </w:rPr>
        <w:t>III -</w:t>
      </w:r>
      <w:r>
        <w:rPr>
          <w:rFonts w:cs="Times New Roman" w:ascii="Times New Roman" w:hAnsi="Times New Roman"/>
        </w:rPr>
        <w:t xml:space="preserve"> Prova de Regularidade com a </w:t>
      </w:r>
      <w:r>
        <w:rPr>
          <w:rFonts w:cs="Times New Roman" w:ascii="Times New Roman" w:hAnsi="Times New Roman"/>
          <w:b/>
        </w:rPr>
        <w:t>Fazenda Municipal</w:t>
      </w:r>
      <w:r>
        <w:rPr>
          <w:rFonts w:cs="Times New Roman" w:ascii="Times New Roman" w:hAnsi="Times New Roman"/>
        </w:rPr>
        <w:t xml:space="preserve">, </w:t>
      </w:r>
      <w:r>
        <w:rPr>
          <w:rFonts w:cs="Times New Roman" w:ascii="Times New Roman" w:hAnsi="Times New Roman"/>
          <w:b/>
        </w:rPr>
        <w:t>em vigor</w:t>
      </w:r>
      <w:r>
        <w:rPr>
          <w:rFonts w:cs="Times New Roman" w:ascii="Times New Roman" w:hAnsi="Times New Roman"/>
        </w:rPr>
        <w:t>, conforme legislação tributária do Município expedidor da licitante que ora se habilita para este certame.</w:t>
      </w:r>
    </w:p>
    <w:p>
      <w:pPr>
        <w:pStyle w:val="ListParagraph"/>
        <w:keepLines/>
        <w:numPr>
          <w:ilvl w:val="0"/>
          <w:numId w:val="176"/>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cs="Times New Roman"/>
          <w:b/>
        </w:rPr>
      </w:pPr>
      <w:r>
        <w:rPr>
          <w:rFonts w:cs="Times New Roman" w:ascii="Times New Roman" w:hAnsi="Times New Roman"/>
          <w:b/>
        </w:rPr>
      </w:r>
    </w:p>
    <w:p>
      <w:pPr>
        <w:pStyle w:val="ListParagraph"/>
        <w:keepLines/>
        <w:numPr>
          <w:ilvl w:val="0"/>
          <w:numId w:val="177"/>
        </w:numPr>
        <w:tabs>
          <w:tab w:val="clear" w:pos="720"/>
          <w:tab w:val="left" w:pos="8890" w:leader="none"/>
          <w:tab w:val="left" w:pos="9270" w:leader="none"/>
          <w:tab w:val="left" w:pos="9834" w:leader="none"/>
          <w:tab w:val="left" w:pos="10554" w:leader="none"/>
          <w:tab w:val="left" w:pos="11274" w:leader="none"/>
          <w:tab w:val="left" w:pos="11994" w:leader="none"/>
          <w:tab w:val="left" w:pos="12714" w:leader="none"/>
          <w:tab w:val="left" w:pos="13434" w:leader="none"/>
          <w:tab w:val="left" w:pos="14154" w:leader="none"/>
          <w:tab w:val="left" w:pos="14874" w:leader="none"/>
        </w:tabs>
        <w:ind w:left="850"/>
        <w:jc w:val="both"/>
        <w:textAlignment w:val="top"/>
        <w:rPr/>
      </w:pPr>
      <w:r>
        <w:rPr>
          <w:rFonts w:cs="Times New Roman" w:ascii="Times New Roman" w:hAnsi="Times New Roman"/>
          <w:b/>
        </w:rPr>
        <w:t>a)</w:t>
      </w:r>
      <w:r>
        <w:rPr>
          <w:rFonts w:cs="Times New Roman" w:ascii="Times New Roman" w:hAnsi="Times New Roman"/>
        </w:rPr>
        <w:t xml:space="preserve"> A Certidão deverá expressar, de forma clara e objetiva, </w:t>
      </w:r>
      <w:r>
        <w:rPr>
          <w:rFonts w:cs="Times New Roman" w:ascii="Times New Roman" w:hAnsi="Times New Roman"/>
          <w:b/>
        </w:rPr>
        <w:t>a situação da licitante</w:t>
      </w:r>
      <w:r>
        <w:rPr>
          <w:rFonts w:cs="Times New Roman" w:ascii="Times New Roman" w:hAnsi="Times New Roman"/>
        </w:rPr>
        <w:t xml:space="preserve"> em relação à </w:t>
      </w:r>
      <w:r>
        <w:rPr>
          <w:rFonts w:cs="Times New Roman" w:ascii="Times New Roman" w:hAnsi="Times New Roman"/>
          <w:b/>
        </w:rPr>
        <w:t>totalidade dos tributos</w:t>
      </w:r>
      <w:r>
        <w:rPr>
          <w:rFonts w:cs="Times New Roman" w:ascii="Times New Roman" w:hAnsi="Times New Roman"/>
        </w:rPr>
        <w:t xml:space="preserve"> (Mobiliários e Imobiliários) a cargo da Fazenda Municipal. Mesmo no caso da licitante não possuir imóvel em seu nome, ou seja, isenta de qualquer imposto municipal, deverá ser apresentada certidão emitida pela Fazenda Municipal.</w:t>
      </w:r>
    </w:p>
    <w:p>
      <w:pPr>
        <w:pStyle w:val="ListParagraph"/>
        <w:keepLines/>
        <w:numPr>
          <w:ilvl w:val="0"/>
          <w:numId w:val="178"/>
        </w:numPr>
        <w:tabs>
          <w:tab w:val="clear" w:pos="720"/>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cs="Times New Roman"/>
        </w:rPr>
      </w:pPr>
      <w:r>
        <w:rPr>
          <w:rFonts w:cs="Times New Roman" w:ascii="Times New Roman" w:hAnsi="Times New Roman"/>
        </w:rPr>
      </w:r>
    </w:p>
    <w:p>
      <w:pPr>
        <w:pStyle w:val="Standard"/>
        <w:keepLines/>
        <w:numPr>
          <w:ilvl w:val="0"/>
          <w:numId w:val="179"/>
        </w:numPr>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rPr/>
      </w:pPr>
      <w:r>
        <w:rPr>
          <w:rFonts w:cs="Times New Roman" w:ascii="Times New Roman" w:hAnsi="Times New Roman"/>
          <w:b/>
        </w:rPr>
        <w:t xml:space="preserve">IV - </w:t>
      </w:r>
      <w:r>
        <w:rPr>
          <w:rFonts w:cs="Times New Roman" w:ascii="Times New Roman" w:hAnsi="Times New Roman"/>
        </w:rPr>
        <w:t xml:space="preserve">Prova de Regularidade junto ao Fundo de Garantia por Tempo de Serviço, </w:t>
      </w:r>
      <w:r>
        <w:rPr>
          <w:rFonts w:cs="Times New Roman" w:ascii="Times New Roman" w:hAnsi="Times New Roman"/>
          <w:b/>
        </w:rPr>
        <w:t>FGTS</w:t>
      </w:r>
      <w:r>
        <w:rPr>
          <w:rFonts w:cs="Times New Roman" w:ascii="Times New Roman" w:hAnsi="Times New Roman"/>
        </w:rPr>
        <w:t>,</w:t>
      </w:r>
      <w:r>
        <w:rPr>
          <w:rFonts w:cs="Times New Roman" w:ascii="Times New Roman" w:hAnsi="Times New Roman"/>
          <w:b/>
        </w:rPr>
        <w:t xml:space="preserve"> em vigor</w:t>
      </w:r>
      <w:r>
        <w:rPr>
          <w:rFonts w:cs="Times New Roman" w:ascii="Times New Roman" w:hAnsi="Times New Roman"/>
        </w:rPr>
        <w:t>, demonstrando a situação regular ao cumprimento dos encargos sociais instituídos por Lei.</w:t>
      </w:r>
    </w:p>
    <w:p>
      <w:pPr>
        <w:pStyle w:val="Standard"/>
        <w:keepLines/>
        <w:numPr>
          <w:ilvl w:val="0"/>
          <w:numId w:val="180"/>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rPr>
      </w:pPr>
      <w:r>
        <w:rPr>
          <w:rFonts w:cs="Times New Roman" w:ascii="Times New Roman" w:hAnsi="Times New Roman"/>
        </w:rPr>
      </w:r>
    </w:p>
    <w:p>
      <w:pPr>
        <w:pStyle w:val="Standard"/>
        <w:keepLines/>
        <w:numPr>
          <w:ilvl w:val="0"/>
          <w:numId w:val="181"/>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Fonts w:cs="Times New Roman" w:ascii="Times New Roman" w:hAnsi="Times New Roman"/>
          <w:b/>
          <w:bCs/>
        </w:rPr>
        <w:t xml:space="preserve">3.1.3. </w:t>
      </w:r>
      <w:r>
        <w:rPr>
          <w:rFonts w:cs="Times New Roman" w:ascii="Times New Roman" w:hAnsi="Times New Roman"/>
          <w:b/>
          <w:bCs/>
          <w:u w:val="single"/>
        </w:rPr>
        <w:t>Habilitação Trabalhista</w:t>
      </w:r>
    </w:p>
    <w:p>
      <w:pPr>
        <w:pStyle w:val="Standard"/>
        <w:keepLines/>
        <w:numPr>
          <w:ilvl w:val="0"/>
          <w:numId w:val="182"/>
        </w:numPr>
        <w:jc w:val="both"/>
        <w:rPr>
          <w:rFonts w:ascii="Times New Roman" w:hAnsi="Times New Roman" w:cs="Times New Roman"/>
        </w:rPr>
      </w:pPr>
      <w:r>
        <w:rPr>
          <w:rFonts w:cs="Times New Roman" w:ascii="Times New Roman" w:hAnsi="Times New Roman"/>
        </w:rPr>
      </w:r>
    </w:p>
    <w:p>
      <w:pPr>
        <w:pStyle w:val="Standard"/>
        <w:keepLines/>
        <w:numPr>
          <w:ilvl w:val="0"/>
          <w:numId w:val="183"/>
        </w:numPr>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pPr>
      <w:r>
        <w:rPr>
          <w:rFonts w:eastAsia="ArialMT" w:cs="Times New Roman" w:ascii="Times New Roman" w:hAnsi="Times New Roman"/>
          <w:b/>
          <w:bCs/>
          <w:color w:val="000000"/>
          <w:lang w:eastAsia="ar-SA" w:bidi="ar-SA"/>
        </w:rPr>
        <w:t>I -</w:t>
      </w:r>
      <w:r>
        <w:rPr>
          <w:rFonts w:eastAsia="ArialMT" w:cs="Times New Roman" w:ascii="Times New Roman" w:hAnsi="Times New Roman"/>
          <w:bCs/>
          <w:color w:val="000000"/>
          <w:lang w:eastAsia="ar-SA" w:bidi="ar-SA"/>
        </w:rPr>
        <w:t xml:space="preserve"> </w:t>
      </w:r>
      <w:r>
        <w:rPr>
          <w:rFonts w:eastAsia="ArialMT" w:cs="Times New Roman" w:ascii="Times New Roman" w:hAnsi="Times New Roman"/>
          <w:color w:val="000000"/>
          <w:lang w:eastAsia="ar-SA" w:bidi="ar-SA"/>
        </w:rPr>
        <w:t xml:space="preserve">Prova de inexistência de débitos inadimplidos perante a Justiça do Trabalho, mediante a apresentação da </w:t>
      </w:r>
      <w:r>
        <w:rPr>
          <w:rFonts w:eastAsia="ArialMT" w:cs="Times New Roman" w:ascii="Times New Roman" w:hAnsi="Times New Roman"/>
          <w:b/>
          <w:bCs/>
          <w:color w:val="000000"/>
          <w:lang w:eastAsia="ar-SA" w:bidi="ar-SA"/>
        </w:rPr>
        <w:t>Certidão Negativa de Débitos Trabalhistas, em vigor.</w:t>
      </w:r>
    </w:p>
    <w:p>
      <w:pPr>
        <w:pStyle w:val="Standard"/>
        <w:keepLines/>
        <w:numPr>
          <w:ilvl w:val="0"/>
          <w:numId w:val="184"/>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bCs/>
          <w:color w:val="000000"/>
          <w:lang w:eastAsia="ar-SA" w:bidi="ar-SA"/>
        </w:rPr>
      </w:pPr>
      <w:r>
        <w:rPr>
          <w:rFonts w:eastAsia="ArialMT" w:cs="Times New Roman" w:ascii="Times New Roman" w:hAnsi="Times New Roman"/>
          <w:b/>
          <w:bCs/>
          <w:color w:val="000000"/>
          <w:lang w:eastAsia="ar-SA" w:bidi="ar-SA"/>
        </w:rPr>
      </w:r>
    </w:p>
    <w:p>
      <w:pPr>
        <w:pStyle w:val="Standard"/>
        <w:keepLines/>
        <w:numPr>
          <w:ilvl w:val="0"/>
          <w:numId w:val="185"/>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textAlignment w:val="top"/>
        <w:rPr/>
      </w:pPr>
      <w:r>
        <w:rPr>
          <w:rFonts w:eastAsia="ArialMT" w:cs="Times New Roman" w:ascii="Times New Roman" w:hAnsi="Times New Roman"/>
          <w:b/>
          <w:bCs/>
          <w:color w:val="000000"/>
          <w:lang w:eastAsia="en-US" w:bidi="ar-SA"/>
        </w:rPr>
        <w:t xml:space="preserve">3.1.4. </w:t>
      </w:r>
      <w:r>
        <w:rPr>
          <w:rFonts w:eastAsia="ArialMT" w:cs="Times New Roman" w:ascii="Times New Roman" w:hAnsi="Times New Roman"/>
          <w:b/>
          <w:bCs/>
          <w:color w:val="000000"/>
          <w:u w:val="single"/>
          <w:lang w:eastAsia="en-US" w:bidi="ar-SA"/>
        </w:rPr>
        <w:t>Qualificação Econômico-Financeira</w:t>
      </w:r>
    </w:p>
    <w:p>
      <w:pPr>
        <w:pStyle w:val="ListParagraph"/>
        <w:numPr>
          <w:ilvl w:val="0"/>
          <w:numId w:val="186"/>
        </w:numPr>
        <w:tabs>
          <w:tab w:val="clear" w:pos="720"/>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rFonts w:ascii="Times New Roman" w:hAnsi="Times New Roman" w:cs="Times New Roman"/>
          <w:b/>
          <w:bCs/>
          <w:color w:val="000000"/>
          <w:shd w:fill="FFFF00" w:val="clear"/>
          <w:lang w:eastAsia="ar-SA"/>
        </w:rPr>
      </w:pPr>
      <w:r>
        <w:rPr>
          <w:rFonts w:cs="Times New Roman" w:ascii="Times New Roman" w:hAnsi="Times New Roman"/>
          <w:b/>
          <w:bCs/>
          <w:color w:val="000000"/>
          <w:shd w:fill="FFFF00" w:val="clear"/>
          <w:lang w:eastAsia="ar-SA"/>
        </w:rPr>
      </w:r>
    </w:p>
    <w:p>
      <w:pPr>
        <w:pStyle w:val="Standard"/>
        <w:keepLines/>
        <w:numPr>
          <w:ilvl w:val="0"/>
          <w:numId w:val="187"/>
        </w:numPr>
        <w:tabs>
          <w:tab w:val="clear" w:pos="720"/>
          <w:tab w:val="left" w:pos="855" w:leader="none"/>
          <w:tab w:val="left" w:pos="1575" w:leader="none"/>
          <w:tab w:val="left" w:pos="2295" w:leader="none"/>
          <w:tab w:val="left" w:pos="3015" w:leader="none"/>
          <w:tab w:val="left" w:pos="3735" w:leader="none"/>
          <w:tab w:val="left" w:pos="4455" w:leader="none"/>
          <w:tab w:val="left" w:pos="5175" w:leader="none"/>
          <w:tab w:val="left" w:pos="5895" w:leader="none"/>
          <w:tab w:val="left" w:pos="6615" w:leader="none"/>
          <w:tab w:val="left" w:pos="7335" w:leader="none"/>
        </w:tabs>
        <w:ind w:left="567"/>
        <w:jc w:val="both"/>
        <w:textAlignment w:val="top"/>
        <w:rPr/>
      </w:pPr>
      <w:r>
        <w:rPr>
          <w:rFonts w:cs="Times New Roman" w:ascii="Times New Roman" w:hAnsi="Times New Roman"/>
          <w:b/>
          <w:color w:val="000000"/>
        </w:rPr>
        <w:t>I - Certidão Negativa de Falência, Concordata ou de Recuperação Judicial (Lei n.° 11.101/2005)</w:t>
      </w:r>
      <w:r>
        <w:rPr>
          <w:rFonts w:cs="Times New Roman" w:ascii="Times New Roman" w:hAnsi="Times New Roman"/>
          <w:color w:val="000000"/>
        </w:rPr>
        <w:t>,</w:t>
      </w:r>
      <w:r>
        <w:rPr>
          <w:rFonts w:cs="Times New Roman" w:ascii="Times New Roman" w:hAnsi="Times New Roman"/>
          <w:b/>
          <w:color w:val="000000"/>
        </w:rPr>
        <w:t xml:space="preserve"> em vigor</w:t>
      </w:r>
      <w:r>
        <w:rPr>
          <w:rFonts w:cs="Times New Roman" w:ascii="Times New Roman" w:hAnsi="Times New Roman"/>
          <w:color w:val="000000"/>
        </w:rPr>
        <w:t>, expedida pelo distribuidor da comarca da matriz da pessoa jurídica.</w:t>
      </w:r>
    </w:p>
    <w:p>
      <w:pPr>
        <w:pStyle w:val="Standard"/>
        <w:numPr>
          <w:ilvl w:val="0"/>
          <w:numId w:val="188"/>
        </w:numPr>
        <w:tabs>
          <w:tab w:val="clear" w:pos="720"/>
          <w:tab w:val="left" w:pos="1138"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rFonts w:ascii="Times New Roman" w:hAnsi="Times New Roman" w:eastAsia="ArialMT" w:cs="Times New Roman"/>
          <w:b/>
          <w:bCs/>
          <w:color w:val="000000"/>
          <w:lang w:eastAsia="ar-SA" w:bidi="ar-SA"/>
        </w:rPr>
      </w:pPr>
      <w:r>
        <w:rPr>
          <w:rFonts w:eastAsia="ArialMT" w:cs="Times New Roman" w:ascii="Times New Roman" w:hAnsi="Times New Roman"/>
          <w:b/>
          <w:bCs/>
          <w:color w:val="000000"/>
          <w:lang w:eastAsia="ar-SA" w:bidi="ar-SA"/>
        </w:rPr>
      </w:r>
    </w:p>
    <w:p>
      <w:pPr>
        <w:pStyle w:val="Standard"/>
        <w:numPr>
          <w:ilvl w:val="0"/>
          <w:numId w:val="189"/>
        </w:numPr>
        <w:tabs>
          <w:tab w:val="clear" w:pos="720"/>
          <w:tab w:val="left" w:pos="1138"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pPr>
      <w:r>
        <w:rPr>
          <w:rFonts w:eastAsia="ArialMT" w:cs="Times New Roman" w:ascii="Times New Roman" w:hAnsi="Times New Roman"/>
          <w:b/>
          <w:bCs/>
          <w:color w:val="000000"/>
          <w:lang w:eastAsia="ar-SA" w:bidi="ar-SA"/>
        </w:rPr>
        <w:t xml:space="preserve">a) </w:t>
      </w:r>
      <w:r>
        <w:rPr>
          <w:rFonts w:eastAsia="ArialMT" w:cs="Times New Roman" w:ascii="Times New Roman" w:hAnsi="Times New Roman"/>
          <w:color w:val="000000"/>
          <w:lang w:eastAsia="ar-SA" w:bidi="ar-SA"/>
        </w:rPr>
        <w:t>Será aceito documento emitido em nome e CNPJ da matriz e válido para todas as filiais.</w:t>
      </w:r>
    </w:p>
    <w:p>
      <w:pPr>
        <w:pStyle w:val="Standard"/>
        <w:numPr>
          <w:ilvl w:val="0"/>
          <w:numId w:val="190"/>
        </w:numPr>
        <w:tabs>
          <w:tab w:val="clear" w:pos="720"/>
          <w:tab w:val="left" w:pos="1138" w:leader="none"/>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rFonts w:ascii="Times New Roman" w:hAnsi="Times New Roman" w:eastAsia="Times New Roman" w:cs="Times New Roman"/>
          <w:kern w:val="0"/>
          <w:shd w:fill="FFFBCC" w:val="clear"/>
          <w:lang w:eastAsia="pt-BR"/>
        </w:rPr>
      </w:pPr>
      <w:r>
        <w:rPr>
          <w:rFonts w:eastAsia="Times New Roman" w:cs="Times New Roman" w:ascii="Times New Roman" w:hAnsi="Times New Roman"/>
          <w:kern w:val="0"/>
          <w:shd w:fill="FFFBCC" w:val="clear"/>
          <w:lang w:eastAsia="pt-BR"/>
        </w:rPr>
      </w:r>
    </w:p>
    <w:p>
      <w:pPr>
        <w:pStyle w:val="Standard"/>
        <w:numPr>
          <w:ilvl w:val="0"/>
          <w:numId w:val="191"/>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textAlignment w:val="top"/>
        <w:rPr/>
      </w:pPr>
      <w:r>
        <w:rPr>
          <w:rFonts w:eastAsia="ArialMT" w:cs="Times New Roman" w:ascii="Times New Roman" w:hAnsi="Times New Roman"/>
          <w:b/>
          <w:bCs/>
          <w:color w:val="000000"/>
          <w:lang w:eastAsia="ar-SA" w:bidi="ar-SA"/>
        </w:rPr>
        <w:t xml:space="preserve">3.1.5. </w:t>
      </w:r>
      <w:r>
        <w:rPr>
          <w:rFonts w:eastAsia="ArialMT" w:cs="Times New Roman" w:ascii="Times New Roman" w:hAnsi="Times New Roman"/>
          <w:b/>
          <w:bCs/>
          <w:color w:val="000000"/>
          <w:u w:val="single"/>
          <w:lang w:eastAsia="ar-SA" w:bidi="ar-SA"/>
        </w:rPr>
        <w:t>Qualificação Técnica</w:t>
      </w:r>
    </w:p>
    <w:p>
      <w:pPr>
        <w:pStyle w:val="Standard"/>
        <w:widowControl/>
        <w:numPr>
          <w:ilvl w:val="0"/>
          <w:numId w:val="192"/>
        </w:numPr>
        <w:tabs>
          <w:tab w:val="clear" w:pos="720"/>
          <w:tab w:val="left" w:pos="1143" w:leader="none"/>
          <w:tab w:val="left" w:pos="1587" w:leader="none"/>
          <w:tab w:val="left" w:pos="2307" w:leader="none"/>
          <w:tab w:val="left" w:pos="3027" w:leader="none"/>
          <w:tab w:val="left" w:pos="3747" w:leader="none"/>
          <w:tab w:val="left" w:pos="4467" w:leader="none"/>
          <w:tab w:val="left" w:pos="5187" w:leader="none"/>
          <w:tab w:val="left" w:pos="5907" w:leader="none"/>
          <w:tab w:val="left" w:pos="6627" w:leader="none"/>
          <w:tab w:val="left" w:pos="7347" w:leader="none"/>
        </w:tabs>
        <w:ind w:left="283"/>
        <w:jc w:val="both"/>
        <w:textAlignment w:val="top"/>
        <w:rPr>
          <w:rFonts w:ascii="Times New Roman" w:hAnsi="Times New Roman" w:eastAsia="Times New Roman" w:cs="Times New Roman"/>
          <w:b/>
          <w:bCs/>
          <w:lang w:bidi="ar-SA"/>
        </w:rPr>
      </w:pPr>
      <w:r>
        <w:rPr>
          <w:rFonts w:eastAsia="Times New Roman" w:cs="Times New Roman" w:ascii="Times New Roman" w:hAnsi="Times New Roman"/>
          <w:b/>
          <w:bCs/>
          <w:lang w:bidi="ar-SA"/>
        </w:rPr>
      </w:r>
    </w:p>
    <w:p>
      <w:pPr>
        <w:pStyle w:val="Standard"/>
        <w:widowControl/>
        <w:numPr>
          <w:ilvl w:val="0"/>
          <w:numId w:val="193"/>
        </w:numPr>
        <w:tabs>
          <w:tab w:val="clear" w:pos="720"/>
          <w:tab w:val="left" w:pos="831" w:leader="none"/>
          <w:tab w:val="left" w:pos="1518" w:leader="none"/>
          <w:tab w:val="left" w:pos="2238" w:leader="none"/>
          <w:tab w:val="left" w:pos="2958" w:leader="none"/>
          <w:tab w:val="left" w:pos="3678" w:leader="none"/>
          <w:tab w:val="left" w:pos="4398" w:leader="none"/>
          <w:tab w:val="left" w:pos="5118" w:leader="none"/>
          <w:tab w:val="left" w:pos="5838" w:leader="none"/>
          <w:tab w:val="left" w:pos="6558" w:leader="none"/>
          <w:tab w:val="left" w:pos="7278" w:leader="none"/>
        </w:tabs>
        <w:ind w:left="510"/>
        <w:jc w:val="both"/>
        <w:textAlignment w:val="top"/>
        <w:rPr/>
      </w:pPr>
      <w:r>
        <w:rPr>
          <w:rFonts w:eastAsia="Times New Roman" w:cs="Times New Roman" w:ascii="Times New Roman" w:hAnsi="Times New Roman"/>
          <w:b/>
          <w:bCs/>
          <w:lang w:bidi="ar-SA"/>
        </w:rPr>
        <w:t>I -</w:t>
      </w:r>
      <w:r>
        <w:rPr>
          <w:rFonts w:eastAsia="Times New Roman" w:cs="Times New Roman" w:ascii="Times New Roman" w:hAnsi="Times New Roman"/>
          <w:lang w:bidi="ar-SA"/>
        </w:rPr>
        <w:t xml:space="preserve"> </w:t>
      </w:r>
      <w:r>
        <w:rPr>
          <w:rFonts w:eastAsia="Times New Roman" w:cs="Times New Roman" w:ascii="Times New Roman" w:hAnsi="Times New Roman"/>
          <w:b/>
          <w:bCs/>
          <w:lang w:eastAsia="pt-BR"/>
        </w:rPr>
        <w:t xml:space="preserve">Comprovação </w:t>
      </w:r>
      <w:r>
        <w:rPr>
          <w:rFonts w:eastAsia="Times New Roman" w:cs="Times New Roman" w:ascii="Times New Roman" w:hAnsi="Times New Roman"/>
          <w:lang w:eastAsia="pt-BR"/>
        </w:rPr>
        <w:t>de que está</w:t>
      </w:r>
      <w:r>
        <w:rPr>
          <w:rStyle w:val="Emphasis"/>
          <w:rFonts w:eastAsia="Times New Roman" w:cs="Times New Roman" w:ascii="Times New Roman" w:hAnsi="Times New Roman"/>
          <w:i w:val="false"/>
          <w:iCs w:val="false"/>
          <w:lang w:eastAsia="pt-BR"/>
        </w:rPr>
        <w:t xml:space="preserve"> estabelecida no mercado de serviços funerários há, </w:t>
      </w:r>
      <w:r>
        <w:rPr>
          <w:rStyle w:val="Emphasis"/>
          <w:rFonts w:eastAsia="Times New Roman" w:cs="Times New Roman" w:ascii="Times New Roman" w:hAnsi="Times New Roman"/>
          <w:b/>
          <w:bCs/>
          <w:i w:val="false"/>
          <w:iCs w:val="false"/>
          <w:lang w:eastAsia="pt-BR"/>
        </w:rPr>
        <w:t>no mínimo 05 (cinco) anos</w:t>
      </w:r>
      <w:r>
        <w:rPr>
          <w:rStyle w:val="Emphasis"/>
          <w:rFonts w:eastAsia="Times New Roman" w:cs="Times New Roman" w:ascii="Times New Roman" w:hAnsi="Times New Roman"/>
          <w:i w:val="false"/>
          <w:iCs w:val="false"/>
          <w:lang w:eastAsia="pt-BR"/>
        </w:rPr>
        <w:t xml:space="preserve">, devidamente comprovados, através de cópia autenticada do contrato social, estatuto, ato constitutivo </w:t>
      </w:r>
      <w:r>
        <w:rPr>
          <w:rStyle w:val="Emphasis"/>
          <w:rFonts w:eastAsia="Times New Roman" w:cs="Times New Roman" w:ascii="Times New Roman" w:hAnsi="Times New Roman"/>
          <w:b/>
          <w:bCs/>
          <w:i w:val="false"/>
          <w:iCs w:val="false"/>
          <w:lang w:eastAsia="pt-BR"/>
        </w:rPr>
        <w:t>OU</w:t>
      </w:r>
      <w:r>
        <w:rPr>
          <w:rStyle w:val="Emphasis"/>
          <w:rFonts w:eastAsia="Times New Roman" w:cs="Times New Roman" w:ascii="Times New Roman" w:hAnsi="Times New Roman"/>
          <w:i w:val="false"/>
          <w:iCs w:val="false"/>
          <w:lang w:eastAsia="pt-BR"/>
        </w:rPr>
        <w:t xml:space="preserve"> </w:t>
      </w:r>
      <w:r>
        <w:rPr>
          <w:rFonts w:eastAsia="Times New Roman" w:cs="Times New Roman" w:ascii="Times New Roman" w:hAnsi="Times New Roman"/>
          <w:lang w:eastAsia="pt-BR"/>
        </w:rPr>
        <w:t>de, no mínimo,</w:t>
      </w:r>
      <w:r>
        <w:rPr>
          <w:rFonts w:eastAsia="Times New Roman" w:cs="Times New Roman" w:ascii="Times New Roman" w:hAnsi="Times New Roman"/>
          <w:b/>
          <w:lang w:eastAsia="pt-BR"/>
        </w:rPr>
        <w:t xml:space="preserve"> </w:t>
      </w:r>
      <w:r>
        <w:rPr>
          <w:rFonts w:eastAsia="Times New Roman" w:cs="Times New Roman" w:ascii="Times New Roman" w:hAnsi="Times New Roman"/>
          <w:b/>
          <w:bCs/>
          <w:lang w:eastAsia="pt-BR"/>
        </w:rPr>
        <w:t>1 (um) atestado de capacidade técnico operacional</w:t>
      </w:r>
      <w:r>
        <w:rPr>
          <w:rFonts w:eastAsia="Times New Roman" w:cs="Times New Roman" w:ascii="Times New Roman" w:hAnsi="Times New Roman"/>
          <w:b/>
          <w:lang w:eastAsia="pt-BR"/>
        </w:rPr>
        <w:t xml:space="preserve">, </w:t>
      </w:r>
      <w:r>
        <w:rPr>
          <w:rFonts w:eastAsia="Times New Roman" w:cs="Times New Roman" w:ascii="Times New Roman" w:hAnsi="Times New Roman"/>
          <w:lang w:eastAsia="pt-BR"/>
        </w:rPr>
        <w:t xml:space="preserve">fornecido por pessoa jurídica de direito público, pelo qual tenha sido contratada para a execução de serviços pertinentes e </w:t>
      </w:r>
      <w:r>
        <w:rPr>
          <w:rFonts w:eastAsia="Times New Roman" w:cs="Times New Roman" w:ascii="Times New Roman" w:hAnsi="Times New Roman"/>
          <w:b/>
          <w:bCs/>
          <w:lang w:eastAsia="pt-BR"/>
        </w:rPr>
        <w:t>compatíveis em características</w:t>
      </w:r>
      <w:r>
        <w:rPr>
          <w:rFonts w:eastAsia="Times New Roman" w:cs="Times New Roman" w:ascii="Times New Roman" w:hAnsi="Times New Roman"/>
          <w:lang w:eastAsia="pt-BR"/>
        </w:rPr>
        <w:t xml:space="preserve"> ao objeto do presente certame. O(s) atestado(s) deverá(ão) dispor sobre a </w:t>
      </w:r>
      <w:r>
        <w:rPr>
          <w:rFonts w:eastAsia="Times New Roman" w:cs="Times New Roman" w:ascii="Times New Roman" w:hAnsi="Times New Roman"/>
          <w:b/>
          <w:bCs/>
          <w:lang w:eastAsia="pt-BR"/>
        </w:rPr>
        <w:t>prestação satisfatória</w:t>
      </w:r>
      <w:r>
        <w:rPr>
          <w:rFonts w:eastAsia="Times New Roman" w:cs="Times New Roman" w:ascii="Times New Roman" w:hAnsi="Times New Roman"/>
          <w:lang w:eastAsia="pt-BR"/>
        </w:rPr>
        <w:t xml:space="preserve"> dos citados serviços. </w:t>
      </w:r>
      <w:r>
        <w:rPr>
          <w:rFonts w:eastAsia="ArialMT" w:cs="Times New Roman" w:ascii="Times New Roman" w:hAnsi="Times New Roman"/>
          <w:lang w:eastAsia="pt-BR"/>
        </w:rPr>
        <w:t xml:space="preserve">No(s) atestado(s) deverá(ão) constar discriminadamente, no mínimo, os seguintes dados: </w:t>
      </w:r>
      <w:r>
        <w:rPr>
          <w:rFonts w:eastAsia="Arial-BoldItalicMT" w:cs="Times New Roman" w:ascii="Times New Roman" w:hAnsi="Times New Roman"/>
          <w:b/>
          <w:bCs/>
          <w:lang w:eastAsia="pt-BR"/>
        </w:rPr>
        <w:t>objeto, local, período de execução (data de início e de término).</w:t>
      </w:r>
    </w:p>
    <w:p>
      <w:pPr>
        <w:pStyle w:val="Standard"/>
        <w:numPr>
          <w:ilvl w:val="0"/>
          <w:numId w:val="194"/>
        </w:numPr>
        <w:tabs>
          <w:tab w:val="clear" w:pos="720"/>
          <w:tab w:val="left" w:pos="798" w:leader="none"/>
          <w:tab w:val="left" w:pos="1518" w:leader="none"/>
          <w:tab w:val="left" w:pos="2238" w:leader="none"/>
          <w:tab w:val="left" w:pos="2958" w:leader="none"/>
          <w:tab w:val="left" w:pos="3678" w:leader="none"/>
          <w:tab w:val="left" w:pos="4398" w:leader="none"/>
          <w:tab w:val="left" w:pos="5118" w:leader="none"/>
          <w:tab w:val="left" w:pos="5838" w:leader="none"/>
          <w:tab w:val="left" w:pos="6558" w:leader="none"/>
          <w:tab w:val="left" w:pos="7278" w:leader="none"/>
        </w:tabs>
        <w:ind w:left="510"/>
        <w:jc w:val="both"/>
        <w:textAlignment w:val="top"/>
        <w:rPr>
          <w:rFonts w:ascii="Times New Roman" w:hAnsi="Times New Roman" w:cs="Times New Roman"/>
          <w:b/>
          <w:bCs/>
          <w:color w:val="C9211E"/>
        </w:rPr>
      </w:pPr>
      <w:r>
        <w:rPr>
          <w:rFonts w:cs="Times New Roman" w:ascii="Times New Roman" w:hAnsi="Times New Roman"/>
          <w:b/>
          <w:bCs/>
          <w:color w:val="C9211E"/>
        </w:rPr>
      </w:r>
    </w:p>
    <w:p>
      <w:pPr>
        <w:pStyle w:val="Standard"/>
        <w:numPr>
          <w:ilvl w:val="0"/>
          <w:numId w:val="195"/>
        </w:numPr>
        <w:tabs>
          <w:tab w:val="clear" w:pos="720"/>
          <w:tab w:val="left" w:pos="1518" w:leader="none"/>
          <w:tab w:val="left" w:pos="2238" w:leader="none"/>
          <w:tab w:val="left" w:pos="2958" w:leader="none"/>
          <w:tab w:val="left" w:pos="3678" w:leader="none"/>
          <w:tab w:val="left" w:pos="4398" w:leader="none"/>
          <w:tab w:val="left" w:pos="5118" w:leader="none"/>
          <w:tab w:val="left" w:pos="5838" w:leader="none"/>
          <w:tab w:val="left" w:pos="6558" w:leader="none"/>
          <w:tab w:val="left" w:pos="7278" w:leader="none"/>
        </w:tabs>
        <w:ind w:left="510"/>
        <w:jc w:val="both"/>
        <w:textAlignment w:val="top"/>
        <w:rPr/>
      </w:pPr>
      <w:r>
        <w:rPr>
          <w:rFonts w:cs="Times New Roman" w:ascii="Times New Roman" w:hAnsi="Times New Roman"/>
          <w:b/>
          <w:bCs/>
        </w:rPr>
        <w:t>II -</w:t>
      </w:r>
      <w:r>
        <w:rPr>
          <w:rFonts w:cs="Times New Roman" w:ascii="Times New Roman" w:hAnsi="Times New Roman"/>
        </w:rPr>
        <w:t xml:space="preserve"> </w:t>
      </w:r>
      <w:r>
        <w:rPr>
          <w:rFonts w:cs="Times New Roman" w:ascii="Times New Roman" w:hAnsi="Times New Roman"/>
          <w:b/>
          <w:bCs/>
        </w:rPr>
        <w:t>Declaração</w:t>
      </w:r>
      <w:r>
        <w:rPr>
          <w:rFonts w:cs="Times New Roman" w:ascii="Times New Roman" w:hAnsi="Times New Roman"/>
        </w:rPr>
        <w:t xml:space="preserve"> (conforme modelo, ANEXO II – DECLARAÇÃO DE RESPONSABILIDADE REFERENTE AOS SERVIÇOS SUBCONTRATADOS), sob as penas da lei, de que se responsabilizará pela </w:t>
      </w:r>
      <w:r>
        <w:rPr>
          <w:rFonts w:cs="Times New Roman" w:ascii="Times New Roman" w:hAnsi="Times New Roman"/>
          <w:b/>
          <w:bCs/>
        </w:rPr>
        <w:t>subcontratação</w:t>
      </w:r>
      <w:r>
        <w:rPr>
          <w:rFonts w:cs="Times New Roman" w:ascii="Times New Roman" w:hAnsi="Times New Roman"/>
        </w:rPr>
        <w:t xml:space="preserve"> com total cumprimento das determinações contidas no </w:t>
      </w:r>
      <w:r>
        <w:rPr>
          <w:rFonts w:eastAsia="ArialMT" w:cs="Times New Roman" w:ascii="Times New Roman" w:hAnsi="Times New Roman"/>
        </w:rPr>
        <w:t>TERMO DE REFERÊNCIA</w:t>
      </w:r>
      <w:r>
        <w:rPr>
          <w:rFonts w:cs="Times New Roman" w:ascii="Times New Roman" w:hAnsi="Times New Roman"/>
        </w:rPr>
        <w:t>, caso subcontratar os serviços permitidos.</w:t>
      </w:r>
    </w:p>
    <w:p>
      <w:pPr>
        <w:pStyle w:val="Standard"/>
        <w:tabs>
          <w:tab w:val="clear" w:pos="720"/>
          <w:tab w:val="left" w:pos="1518" w:leader="none"/>
          <w:tab w:val="left" w:pos="2238" w:leader="none"/>
          <w:tab w:val="left" w:pos="2958" w:leader="none"/>
          <w:tab w:val="left" w:pos="3678" w:leader="none"/>
          <w:tab w:val="left" w:pos="4398" w:leader="none"/>
          <w:tab w:val="left" w:pos="5118" w:leader="none"/>
          <w:tab w:val="left" w:pos="5838" w:leader="none"/>
          <w:tab w:val="left" w:pos="6558" w:leader="none"/>
          <w:tab w:val="left" w:pos="7278" w:leader="none"/>
        </w:tabs>
        <w:ind w:left="510"/>
        <w:jc w:val="both"/>
        <w:textAlignment w:val="top"/>
        <w:rPr>
          <w:rFonts w:ascii="Times New Roman" w:hAnsi="Times New Roman" w:cs="Times New Roman"/>
        </w:rPr>
      </w:pPr>
      <w:r>
        <w:rPr>
          <w:rFonts w:cs="Times New Roman" w:ascii="Times New Roman" w:hAnsi="Times New Roman"/>
        </w:rPr>
      </w:r>
    </w:p>
    <w:p>
      <w:pPr>
        <w:pStyle w:val="Standard"/>
        <w:numPr>
          <w:ilvl w:val="0"/>
          <w:numId w:val="196"/>
        </w:numPr>
        <w:tabs>
          <w:tab w:val="clear" w:pos="720"/>
          <w:tab w:val="left" w:pos="1016" w:leader="none"/>
          <w:tab w:val="left" w:pos="1518" w:leader="none"/>
          <w:tab w:val="left" w:pos="2238" w:leader="none"/>
          <w:tab w:val="left" w:pos="2958" w:leader="none"/>
          <w:tab w:val="left" w:pos="3678" w:leader="none"/>
          <w:tab w:val="left" w:pos="4398" w:leader="none"/>
          <w:tab w:val="left" w:pos="5118" w:leader="none"/>
          <w:tab w:val="left" w:pos="5838" w:leader="none"/>
          <w:tab w:val="left" w:pos="6558" w:leader="none"/>
          <w:tab w:val="left" w:pos="7278" w:leader="none"/>
        </w:tabs>
        <w:ind w:left="510"/>
        <w:jc w:val="both"/>
        <w:textAlignment w:val="top"/>
        <w:rPr/>
      </w:pPr>
      <w:r>
        <w:rPr>
          <w:rFonts w:cs="Times New Roman" w:ascii="Times New Roman" w:hAnsi="Times New Roman"/>
          <w:b/>
          <w:bCs/>
        </w:rPr>
        <w:t>III -</w:t>
      </w:r>
      <w:r>
        <w:rPr>
          <w:rFonts w:cs="Times New Roman" w:ascii="Times New Roman" w:hAnsi="Times New Roman"/>
        </w:rPr>
        <w:t xml:space="preserve"> </w:t>
      </w:r>
      <w:r>
        <w:rPr>
          <w:rFonts w:cs="Times New Roman" w:ascii="Times New Roman" w:hAnsi="Times New Roman"/>
          <w:b/>
          <w:bCs/>
        </w:rPr>
        <w:t>Declaração</w:t>
      </w:r>
      <w:r>
        <w:rPr>
          <w:rFonts w:cs="Times New Roman" w:ascii="Times New Roman" w:hAnsi="Times New Roman"/>
        </w:rPr>
        <w:t xml:space="preserve"> (conforme modelo, ANEXO III – DECLARAÇÃO DE CONHECIMENTO), sob as penas da lei, que tem pleno conhecimento dos serviços a serem executados, bem como da legislação pertinente, do prazo para pagamento da outorga fixa e apresentação dos demais documentos necessários para assinatura do contrato, e se sujeita a todas as condições estabelecidas.</w:t>
      </w:r>
    </w:p>
    <w:p>
      <w:pPr>
        <w:pStyle w:val="Standard"/>
        <w:tabs>
          <w:tab w:val="clear" w:pos="720"/>
          <w:tab w:val="left" w:pos="510" w:leader="none"/>
        </w:tabs>
        <w:ind w:left="510"/>
        <w:jc w:val="center"/>
        <w:textAlignment w:val="top"/>
        <w:rPr>
          <w:rFonts w:ascii="Times New Roman" w:hAnsi="Times New Roman" w:cs="Times New Roman"/>
          <w:color w:val="FF0000"/>
        </w:rPr>
      </w:pPr>
      <w:r>
        <w:rPr>
          <w:rFonts w:cs="Times New Roman" w:ascii="Times New Roman" w:hAnsi="Times New Roman"/>
          <w:color w:val="FF0000"/>
        </w:rPr>
      </w:r>
    </w:p>
    <w:p>
      <w:pPr>
        <w:pStyle w:val="Standard"/>
        <w:keepLines/>
        <w:tabs>
          <w:tab w:val="clear" w:pos="720"/>
          <w:tab w:val="left" w:pos="1043" w:leader="none"/>
          <w:tab w:val="left" w:pos="1423" w:leader="none"/>
          <w:tab w:val="left" w:pos="1987" w:leader="none"/>
          <w:tab w:val="left" w:pos="2707" w:leader="none"/>
          <w:tab w:val="left" w:pos="3427" w:leader="none"/>
          <w:tab w:val="left" w:pos="4147" w:leader="none"/>
          <w:tab w:val="left" w:pos="4867" w:leader="none"/>
          <w:tab w:val="left" w:pos="5587" w:leader="none"/>
          <w:tab w:val="left" w:pos="6307" w:leader="none"/>
          <w:tab w:val="left" w:pos="7027" w:leader="none"/>
        </w:tabs>
        <w:ind w:left="283"/>
        <w:jc w:val="both"/>
        <w:rPr/>
      </w:pPr>
      <w:r>
        <w:rPr>
          <w:rFonts w:cs="Times New Roman" w:ascii="Times New Roman" w:hAnsi="Times New Roman"/>
          <w:b/>
        </w:rPr>
        <w:t xml:space="preserve">3.1.6. </w:t>
      </w:r>
      <w:r>
        <w:rPr>
          <w:rFonts w:cs="Times New Roman" w:ascii="Times New Roman" w:hAnsi="Times New Roman"/>
          <w:b/>
          <w:u w:val="single"/>
        </w:rPr>
        <w:t>Declarações sem fins de habilitação</w:t>
      </w:r>
    </w:p>
    <w:p>
      <w:pPr>
        <w:pStyle w:val="Standard"/>
        <w:keepLines/>
        <w:tabs>
          <w:tab w:val="clear" w:pos="720"/>
          <w:tab w:val="left" w:pos="760" w:leader="none"/>
          <w:tab w:val="left" w:pos="1140" w:leader="none"/>
          <w:tab w:val="left" w:pos="1704" w:leader="none"/>
          <w:tab w:val="left" w:pos="2424" w:leader="none"/>
          <w:tab w:val="left" w:pos="3144" w:leader="none"/>
          <w:tab w:val="left" w:pos="3864" w:leader="none"/>
          <w:tab w:val="left" w:pos="4584" w:leader="none"/>
          <w:tab w:val="left" w:pos="5304" w:leader="none"/>
          <w:tab w:val="left" w:pos="6024" w:leader="none"/>
          <w:tab w:val="left" w:pos="6744" w:leader="none"/>
        </w:tabs>
        <w:jc w:val="both"/>
        <w:rPr>
          <w:rFonts w:ascii="Times New Roman" w:hAnsi="Times New Roman" w:cs="Times New Roman"/>
          <w:b/>
        </w:rPr>
      </w:pPr>
      <w:r>
        <w:rPr>
          <w:rFonts w:cs="Times New Roman" w:ascii="Times New Roman" w:hAnsi="Times New Roman"/>
          <w:b/>
        </w:rPr>
      </w:r>
    </w:p>
    <w:p>
      <w:pPr>
        <w:pStyle w:val="Standard"/>
        <w:keepLines/>
        <w:tabs>
          <w:tab w:val="clear" w:pos="720"/>
          <w:tab w:val="left" w:pos="4167" w:leader="none"/>
          <w:tab w:val="left" w:pos="4547" w:leader="none"/>
          <w:tab w:val="left" w:pos="5111" w:leader="none"/>
          <w:tab w:val="left" w:pos="5831" w:leader="none"/>
          <w:tab w:val="left" w:pos="6551" w:leader="none"/>
          <w:tab w:val="left" w:pos="7271" w:leader="none"/>
          <w:tab w:val="left" w:pos="7991" w:leader="none"/>
          <w:tab w:val="left" w:pos="8711" w:leader="none"/>
          <w:tab w:val="left" w:pos="9431" w:leader="none"/>
          <w:tab w:val="left" w:pos="10151" w:leader="none"/>
        </w:tabs>
        <w:ind w:left="283"/>
        <w:jc w:val="both"/>
        <w:rPr/>
      </w:pPr>
      <w:r>
        <w:rPr>
          <w:rFonts w:cs="Times New Roman" w:ascii="Times New Roman" w:hAnsi="Times New Roman"/>
          <w:b/>
        </w:rPr>
        <w:t>I –</w:t>
      </w:r>
      <w:r>
        <w:rPr>
          <w:rFonts w:cs="Times New Roman" w:ascii="Times New Roman" w:hAnsi="Times New Roman"/>
        </w:rPr>
        <w:t xml:space="preserve"> </w:t>
      </w:r>
      <w:r>
        <w:rPr>
          <w:rFonts w:cs="Times New Roman" w:ascii="Times New Roman" w:hAnsi="Times New Roman"/>
          <w:b/>
          <w:bCs/>
        </w:rPr>
        <w:t>Declaração</w:t>
      </w:r>
      <w:r>
        <w:rPr>
          <w:rFonts w:cs="Times New Roman" w:ascii="Times New Roman" w:hAnsi="Times New Roman"/>
        </w:rPr>
        <w:t xml:space="preserve"> </w:t>
      </w:r>
      <w:r>
        <w:rPr>
          <w:rFonts w:cs="Times New Roman" w:ascii="Times New Roman" w:hAnsi="Times New Roman"/>
          <w:u w:val="single"/>
        </w:rPr>
        <w:t>OPCIONAL</w:t>
      </w:r>
      <w:r>
        <w:rPr>
          <w:rFonts w:cs="Times New Roman" w:ascii="Times New Roman" w:hAnsi="Times New Roman"/>
        </w:rPr>
        <w:t xml:space="preserve"> </w:t>
      </w:r>
      <w:r>
        <w:rPr>
          <w:rFonts w:cs="Times New Roman" w:ascii="Times New Roman" w:hAnsi="Times New Roman"/>
          <w:b/>
          <w:bCs/>
        </w:rPr>
        <w:t xml:space="preserve">de renúncia da participante ao prazo recursal </w:t>
      </w:r>
      <w:r>
        <w:rPr>
          <w:rFonts w:cs="Times New Roman" w:ascii="Times New Roman" w:hAnsi="Times New Roman"/>
        </w:rPr>
        <w:t>(conforme modelo, ANEXO IV – DECLARAÇÃO OPCIONAL DE RENÚNCIA AO PRAZO RECURSAL), caso considerada habilitada, assinada por representante legal, para a participante que não se fizer presente por meio de credenciado, no momento da sessão de recebimento e abertura do envelope.</w:t>
      </w:r>
    </w:p>
    <w:p>
      <w:pPr>
        <w:pStyle w:val="Standard"/>
        <w:tabs>
          <w:tab w:val="clear" w:pos="720"/>
          <w:tab w:val="left" w:pos="510" w:leader="none"/>
        </w:tabs>
        <w:ind w:left="510"/>
        <w:jc w:val="center"/>
        <w:textAlignment w:val="top"/>
        <w:rPr>
          <w:rFonts w:ascii="Times New Roman" w:hAnsi="Times New Roman" w:cs="Times New Roman"/>
          <w:color w:val="FF0000"/>
        </w:rPr>
      </w:pPr>
      <w:r>
        <w:rPr>
          <w:rFonts w:cs="Times New Roman" w:ascii="Times New Roman" w:hAnsi="Times New Roman"/>
          <w:color w:val="FF0000"/>
        </w:rPr>
      </w:r>
    </w:p>
    <w:p>
      <w:pPr>
        <w:pStyle w:val="Standard"/>
        <w:numPr>
          <w:ilvl w:val="0"/>
          <w:numId w:val="197"/>
        </w:numPr>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lang w:eastAsia="ar-SA" w:bidi="ar-SA"/>
        </w:rPr>
        <w:t>3.2.</w:t>
      </w:r>
      <w:r>
        <w:rPr>
          <w:rFonts w:eastAsia="ArialMT" w:cs="Times New Roman" w:ascii="Times New Roman" w:hAnsi="Times New Roman"/>
          <w:lang w:eastAsia="ar-SA" w:bidi="ar-SA"/>
        </w:rPr>
        <w:t xml:space="preserve"> As certidões dos </w:t>
      </w:r>
      <w:r>
        <w:rPr>
          <w:rFonts w:eastAsia="ArialMT" w:cs="Times New Roman" w:ascii="Times New Roman" w:hAnsi="Times New Roman"/>
          <w:b/>
          <w:bCs/>
          <w:lang w:eastAsia="ar-SA" w:bidi="ar-SA"/>
        </w:rPr>
        <w:t xml:space="preserve">subitens 3.1.2 a 3.1.4 </w:t>
      </w:r>
      <w:r>
        <w:rPr>
          <w:rFonts w:eastAsia="ArialMT" w:cs="Times New Roman" w:ascii="Times New Roman" w:hAnsi="Times New Roman"/>
          <w:lang w:eastAsia="ar-SA" w:bidi="ar-SA"/>
        </w:rPr>
        <w:t xml:space="preserve">que não expressarem o prazo de validade deverão ter a data de expedição não superior a </w:t>
      </w:r>
      <w:r>
        <w:rPr>
          <w:rFonts w:eastAsia="ArialMT" w:cs="Times New Roman" w:ascii="Times New Roman" w:hAnsi="Times New Roman"/>
          <w:b/>
          <w:bCs/>
          <w:lang w:eastAsia="ar-SA" w:bidi="ar-SA"/>
        </w:rPr>
        <w:t>6 (seis) meses</w:t>
      </w:r>
      <w:r>
        <w:rPr>
          <w:rFonts w:eastAsia="ArialMT" w:cs="Times New Roman" w:ascii="Times New Roman" w:hAnsi="Times New Roman"/>
          <w:lang w:eastAsia="ar-SA" w:bidi="ar-SA"/>
        </w:rPr>
        <w:t>.</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cs="Times New Roman"/>
        </w:rPr>
      </w:pPr>
      <w:r>
        <w:rPr>
          <w:rFonts w:cs="Times New Roman" w:ascii="Times New Roman" w:hAnsi="Times New Roman"/>
        </w:rPr>
      </w:r>
    </w:p>
    <w:p>
      <w:pPr>
        <w:pStyle w:val="Standard"/>
        <w:keepLines/>
        <w:tabs>
          <w:tab w:val="clear" w:pos="720"/>
          <w:tab w:val="left" w:pos="332"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bCs/>
        </w:rPr>
        <w:t xml:space="preserve">3.3. </w:t>
      </w:r>
      <w:r>
        <w:rPr>
          <w:rFonts w:eastAsia="ArialMT" w:cs="Times New Roman" w:ascii="Times New Roman" w:hAnsi="Times New Roman"/>
          <w:lang w:eastAsia="ar-SA" w:bidi="ar-SA"/>
        </w:rPr>
        <w:t>A participante</w:t>
      </w:r>
      <w:r>
        <w:rPr>
          <w:rFonts w:cs="Times New Roman" w:ascii="Times New Roman" w:hAnsi="Times New Roman"/>
        </w:rPr>
        <w:t xml:space="preserve"> que se enquadrar no regime diferenciado e favorecido, previsto na Lei Complementar n.º 123/06 e alterações, </w:t>
      </w:r>
      <w:r>
        <w:rPr>
          <w:rFonts w:eastAsia="Arial, sans-serif" w:cs="Times New Roman" w:ascii="Times New Roman" w:hAnsi="Times New Roman"/>
        </w:rPr>
        <w:t xml:space="preserve">e Decreto Municipal n.º 18.364/16, e </w:t>
      </w:r>
      <w:r>
        <w:rPr>
          <w:rFonts w:cs="Times New Roman" w:ascii="Times New Roman" w:hAnsi="Times New Roman"/>
        </w:rPr>
        <w:t xml:space="preserve">que possuir restrição na comprovação da regularidade fiscal e/ou trabalhista, disposta nos subitens </w:t>
      </w:r>
      <w:r>
        <w:rPr>
          <w:rFonts w:eastAsia="ArialMT" w:cs="Times New Roman" w:ascii="Times New Roman" w:hAnsi="Times New Roman"/>
          <w:lang w:eastAsia="ar-SA" w:bidi="ar-SA"/>
        </w:rPr>
        <w:t>3.1.2 a 3.1.4</w:t>
      </w:r>
      <w:r>
        <w:rPr>
          <w:rFonts w:cs="Times New Roman" w:ascii="Times New Roman" w:hAnsi="Times New Roman"/>
        </w:rPr>
        <w:t xml:space="preserve"> </w:t>
      </w:r>
      <w:r>
        <w:rPr>
          <w:rFonts w:eastAsia="Arial, sans-serif" w:cs="Times New Roman" w:ascii="Times New Roman" w:hAnsi="Times New Roman"/>
        </w:rPr>
        <w:t>deste ANEXO I - FORMA E CRITÉRIOS DE SELEÇÃO DA(S) PARTICIPANTE(S), terá sua habilitação condicionada à regularização da documentação, pagamento ou parcelamento do débito,</w:t>
      </w:r>
      <w:r>
        <w:rPr>
          <w:rFonts w:cs="Times New Roman" w:ascii="Times New Roman" w:hAnsi="Times New Roman"/>
        </w:rPr>
        <w:t xml:space="preserve"> em até 5 (cinco) dias úteis a contar do momento em que for declarada vencedora.</w:t>
      </w:r>
    </w:p>
    <w:p>
      <w:pPr>
        <w:pStyle w:val="Standard"/>
        <w:keepLines/>
        <w:tabs>
          <w:tab w:val="clear" w:pos="720"/>
          <w:tab w:val="left" w:pos="332"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keepLines/>
        <w:tabs>
          <w:tab w:val="clear" w:pos="720"/>
          <w:tab w:val="left" w:pos="9963" w:leader="none"/>
          <w:tab w:val="left" w:pos="10683" w:leader="none"/>
          <w:tab w:val="left" w:pos="11403" w:leader="none"/>
          <w:tab w:val="left" w:pos="12123" w:leader="none"/>
          <w:tab w:val="left" w:pos="12843" w:leader="none"/>
          <w:tab w:val="left" w:pos="13563" w:leader="none"/>
          <w:tab w:val="left" w:pos="14283" w:leader="none"/>
          <w:tab w:val="left" w:pos="15003" w:leader="none"/>
        </w:tabs>
        <w:ind w:left="283"/>
        <w:jc w:val="both"/>
        <w:rPr/>
      </w:pPr>
      <w:r>
        <w:rPr>
          <w:rFonts w:cs="Times New Roman" w:ascii="Times New Roman" w:hAnsi="Times New Roman"/>
          <w:b/>
        </w:rPr>
        <w:t xml:space="preserve">a) </w:t>
      </w:r>
      <w:r>
        <w:rPr>
          <w:rFonts w:cs="Times New Roman" w:ascii="Times New Roman" w:hAnsi="Times New Roman"/>
        </w:rPr>
        <w:t>O prazo citado poderá ser prorrogado uma única vez, por igual período, a critério da Administração, desde que seja requerido pela participante durante o transcurso do respectivo prazo.</w:t>
      </w:r>
    </w:p>
    <w:p>
      <w:pPr>
        <w:pStyle w:val="Standard"/>
        <w:tabs>
          <w:tab w:val="clear" w:pos="720"/>
          <w:tab w:val="left" w:pos="9963" w:leader="none"/>
          <w:tab w:val="left" w:pos="10683" w:leader="none"/>
          <w:tab w:val="left" w:pos="11403" w:leader="none"/>
          <w:tab w:val="left" w:pos="12123" w:leader="none"/>
          <w:tab w:val="left" w:pos="12843" w:leader="none"/>
          <w:tab w:val="left" w:pos="13563" w:leader="none"/>
          <w:tab w:val="left" w:pos="14283" w:leader="none"/>
          <w:tab w:val="left" w:pos="15003" w:leader="none"/>
        </w:tabs>
        <w:ind w:left="283"/>
        <w:jc w:val="both"/>
        <w:rPr>
          <w:rFonts w:ascii="Times New Roman" w:hAnsi="Times New Roman" w:cs="Times New Roman"/>
        </w:rPr>
      </w:pPr>
      <w:r>
        <w:rPr>
          <w:rFonts w:cs="Times New Roman" w:ascii="Times New Roman" w:hAnsi="Times New Roman"/>
        </w:rPr>
      </w:r>
    </w:p>
    <w:p>
      <w:pPr>
        <w:pStyle w:val="Standard"/>
        <w:keepLines/>
        <w:tabs>
          <w:tab w:val="clear" w:pos="720"/>
          <w:tab w:val="left" w:pos="9963" w:leader="none"/>
          <w:tab w:val="left" w:pos="10683" w:leader="none"/>
          <w:tab w:val="left" w:pos="11403" w:leader="none"/>
          <w:tab w:val="left" w:pos="12123" w:leader="none"/>
          <w:tab w:val="left" w:pos="12843" w:leader="none"/>
          <w:tab w:val="left" w:pos="13563" w:leader="none"/>
          <w:tab w:val="left" w:pos="14283" w:leader="none"/>
          <w:tab w:val="left" w:pos="15003" w:leader="none"/>
        </w:tabs>
        <w:ind w:left="283"/>
        <w:jc w:val="both"/>
        <w:rPr/>
      </w:pPr>
      <w:r>
        <w:rPr>
          <w:rFonts w:cs="Times New Roman" w:ascii="Times New Roman" w:hAnsi="Times New Roman"/>
          <w:b/>
        </w:rPr>
        <w:t xml:space="preserve">b) </w:t>
      </w:r>
      <w:r>
        <w:rPr>
          <w:rFonts w:cs="Times New Roman" w:ascii="Times New Roman" w:hAnsi="Times New Roman"/>
        </w:rPr>
        <w:t>O benefício não eximirá a participante de apresentar, na sessão pública, todos os documentos exigidos para efeito da comprovação da regularidade fiscal e/ou trabalhista, ainda que possua alguma restrição.</w:t>
      </w:r>
    </w:p>
    <w:p>
      <w:pPr>
        <w:pStyle w:val="Standard"/>
        <w:keepLines/>
        <w:ind w:left="283"/>
        <w:rPr>
          <w:rFonts w:ascii="Times New Roman" w:hAnsi="Times New Roman" w:cs="Times New Roman"/>
          <w:b/>
          <w:bCs/>
        </w:rPr>
      </w:pPr>
      <w:r>
        <w:rPr>
          <w:rFonts w:cs="Times New Roman" w:ascii="Times New Roman" w:hAnsi="Times New Roman"/>
          <w:b/>
          <w:bCs/>
        </w:rPr>
      </w:r>
    </w:p>
    <w:p>
      <w:pPr>
        <w:pStyle w:val="Standard"/>
        <w:keepLines/>
        <w:tabs>
          <w:tab w:val="clear" w:pos="720"/>
          <w:tab w:val="left" w:pos="9963" w:leader="none"/>
          <w:tab w:val="left" w:pos="10683" w:leader="none"/>
          <w:tab w:val="left" w:pos="11403" w:leader="none"/>
          <w:tab w:val="left" w:pos="12123" w:leader="none"/>
          <w:tab w:val="left" w:pos="12843" w:leader="none"/>
          <w:tab w:val="left" w:pos="13563" w:leader="none"/>
          <w:tab w:val="left" w:pos="14283" w:leader="none"/>
          <w:tab w:val="left" w:pos="15003" w:leader="none"/>
        </w:tabs>
        <w:ind w:left="283"/>
        <w:jc w:val="both"/>
        <w:rPr/>
      </w:pPr>
      <w:r>
        <w:rPr>
          <w:rFonts w:cs="Times New Roman" w:ascii="Times New Roman" w:hAnsi="Times New Roman"/>
          <w:b/>
          <w:bCs/>
        </w:rPr>
        <w:t xml:space="preserve">c) </w:t>
      </w:r>
      <w:r>
        <w:rPr>
          <w:rFonts w:cs="Times New Roman" w:ascii="Times New Roman" w:hAnsi="Times New Roman"/>
        </w:rPr>
        <w:t>A não regularização da documentação, no prazo fixado, implicará decadência do direito à contratação, sem prejuízo das penalidades previstas no TERMO DE REFERÊNCIA.</w:t>
      </w:r>
    </w:p>
    <w:p>
      <w:pPr>
        <w:pStyle w:val="Nivel2"/>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uto" w:line="240" w:before="0" w:after="0"/>
        <w:textAlignment w:val="top"/>
        <w:rPr>
          <w:rFonts w:ascii="Times New Roman" w:hAnsi="Times New Roman" w:eastAsia="ArialMT" w:cs="Times New Roman"/>
          <w:color w:val="auto"/>
          <w:sz w:val="24"/>
          <w:szCs w:val="24"/>
          <w:lang w:eastAsia="ar-SA" w:bidi="ar-SA"/>
        </w:rPr>
      </w:pPr>
      <w:r>
        <w:rPr>
          <w:rFonts w:eastAsia="ArialMT" w:cs="Times New Roman" w:ascii="Times New Roman" w:hAnsi="Times New Roman"/>
          <w:color w:val="auto"/>
          <w:sz w:val="24"/>
          <w:szCs w:val="24"/>
          <w:lang w:eastAsia="ar-SA" w:bidi="ar-SA"/>
        </w:rPr>
      </w:r>
    </w:p>
    <w:p>
      <w:pPr>
        <w:pStyle w:val="Standard"/>
        <w:keepLines/>
        <w:tabs>
          <w:tab w:val="clear" w:pos="720"/>
          <w:tab w:val="left" w:pos="33" w:leader="none"/>
          <w:tab w:val="left" w:pos="1007" w:leader="none"/>
          <w:tab w:val="left" w:pos="1619" w:leader="none"/>
          <w:tab w:val="left" w:pos="2339" w:leader="none"/>
          <w:tab w:val="left" w:pos="3059" w:leader="none"/>
          <w:tab w:val="left" w:pos="3779" w:leader="none"/>
          <w:tab w:val="left" w:pos="4499" w:leader="none"/>
          <w:tab w:val="left" w:pos="5219" w:leader="none"/>
          <w:tab w:val="left" w:pos="5939" w:leader="none"/>
          <w:tab w:val="left" w:pos="6659" w:leader="none"/>
        </w:tabs>
        <w:jc w:val="both"/>
        <w:rPr/>
      </w:pPr>
      <w:r>
        <w:rPr>
          <w:rFonts w:cs="Times New Roman" w:ascii="Times New Roman" w:hAnsi="Times New Roman"/>
          <w:b/>
        </w:rPr>
        <w:t xml:space="preserve">3.4. </w:t>
      </w:r>
      <w:r>
        <w:rPr>
          <w:rFonts w:cs="Times New Roman" w:ascii="Times New Roman" w:hAnsi="Times New Roman"/>
        </w:rPr>
        <w:t xml:space="preserve">As Declarações que não tenham sido assinadas por sócio-gerente ou diretor da participante, identificado no Ato Constitutivo, deverão vir acompanhadas de </w:t>
      </w:r>
      <w:r>
        <w:rPr>
          <w:rFonts w:cs="Times New Roman" w:ascii="Times New Roman" w:hAnsi="Times New Roman"/>
          <w:b/>
          <w:bCs/>
        </w:rPr>
        <w:t>Procuração</w:t>
      </w:r>
      <w:r>
        <w:rPr>
          <w:rFonts w:cs="Times New Roman" w:ascii="Times New Roman" w:hAnsi="Times New Roman"/>
        </w:rPr>
        <w:t xml:space="preserve"> ou </w:t>
      </w:r>
      <w:r>
        <w:rPr>
          <w:rFonts w:cs="Times New Roman" w:ascii="Times New Roman" w:hAnsi="Times New Roman"/>
          <w:b/>
          <w:bCs/>
        </w:rPr>
        <w:t>Credenciamento</w:t>
      </w:r>
      <w:r>
        <w:rPr>
          <w:rFonts w:cs="Times New Roman" w:ascii="Times New Roman" w:hAnsi="Times New Roman"/>
        </w:rPr>
        <w:t xml:space="preserve"> que conceda poderes ao signatário.</w:t>
      </w:r>
    </w:p>
    <w:p>
      <w:pPr>
        <w:pStyle w:val="Standard"/>
        <w:keepLines/>
        <w:tabs>
          <w:tab w:val="clear" w:pos="720"/>
          <w:tab w:val="left" w:pos="300" w:leader="none"/>
          <w:tab w:val="left" w:pos="1308" w:leader="none"/>
          <w:tab w:val="left" w:pos="2028" w:leader="none"/>
          <w:tab w:val="left" w:pos="2748" w:leader="none"/>
          <w:tab w:val="left" w:pos="3468" w:leader="none"/>
          <w:tab w:val="left" w:pos="4188" w:leader="none"/>
          <w:tab w:val="left" w:pos="4908" w:leader="none"/>
          <w:tab w:val="left" w:pos="5628" w:leader="none"/>
          <w:tab w:val="left" w:pos="6348" w:leader="none"/>
          <w:tab w:val="left" w:pos="7068" w:leader="none"/>
        </w:tabs>
        <w:jc w:val="both"/>
        <w:rPr>
          <w:rFonts w:ascii="Times New Roman" w:hAnsi="Times New Roman" w:cs="Times New Roman"/>
        </w:rPr>
      </w:pPr>
      <w:r>
        <w:rPr>
          <w:rFonts w:cs="Times New Roman" w:ascii="Times New Roman" w:hAnsi="Times New Roman"/>
        </w:rPr>
      </w:r>
    </w:p>
    <w:p>
      <w:pPr>
        <w:pStyle w:val="Standard"/>
        <w:keepLines/>
        <w:tabs>
          <w:tab w:val="clear" w:pos="720"/>
          <w:tab w:val="left" w:pos="300" w:leader="none"/>
          <w:tab w:val="left" w:pos="1308" w:leader="none"/>
          <w:tab w:val="left" w:pos="2028" w:leader="none"/>
          <w:tab w:val="left" w:pos="2748" w:leader="none"/>
          <w:tab w:val="left" w:pos="3468" w:leader="none"/>
          <w:tab w:val="left" w:pos="4188" w:leader="none"/>
          <w:tab w:val="left" w:pos="4908" w:leader="none"/>
          <w:tab w:val="left" w:pos="5628" w:leader="none"/>
          <w:tab w:val="left" w:pos="6348" w:leader="none"/>
          <w:tab w:val="left" w:pos="7068" w:leader="none"/>
        </w:tabs>
        <w:jc w:val="both"/>
        <w:rPr/>
      </w:pPr>
      <w:r>
        <w:rPr>
          <w:rFonts w:cs="Times New Roman" w:ascii="Times New Roman" w:hAnsi="Times New Roman"/>
          <w:b/>
        </w:rPr>
        <w:t xml:space="preserve">3.5. </w:t>
      </w:r>
      <w:r>
        <w:rPr>
          <w:rFonts w:eastAsia="ArialMT" w:cs="Times New Roman" w:ascii="Times New Roman" w:hAnsi="Times New Roman"/>
          <w:lang w:eastAsia="ar-SA" w:bidi="ar-SA"/>
        </w:rPr>
        <w:t xml:space="preserve">Todos os documentos apresentados deverão ser correspondentes unicamente à </w:t>
      </w:r>
      <w:r>
        <w:rPr>
          <w:rFonts w:eastAsia="ArialMT" w:cs="Times New Roman" w:ascii="Times New Roman" w:hAnsi="Times New Roman"/>
          <w:b/>
          <w:lang w:eastAsia="ar-SA" w:bidi="ar-SA"/>
        </w:rPr>
        <w:t>matriz</w:t>
      </w:r>
      <w:r>
        <w:rPr>
          <w:rFonts w:eastAsia="ArialMT" w:cs="Times New Roman" w:ascii="Times New Roman" w:hAnsi="Times New Roman"/>
          <w:lang w:eastAsia="ar-SA" w:bidi="ar-SA"/>
        </w:rPr>
        <w:t xml:space="preserve"> </w:t>
      </w:r>
      <w:r>
        <w:rPr>
          <w:rFonts w:eastAsia="ArialMT" w:cs="Times New Roman" w:ascii="Times New Roman" w:hAnsi="Times New Roman"/>
          <w:b/>
          <w:bCs/>
          <w:lang w:eastAsia="ar-SA" w:bidi="ar-SA"/>
        </w:rPr>
        <w:t xml:space="preserve">ou à </w:t>
      </w:r>
      <w:r>
        <w:rPr>
          <w:rFonts w:eastAsia="ArialMT" w:cs="Times New Roman" w:ascii="Times New Roman" w:hAnsi="Times New Roman"/>
          <w:b/>
          <w:lang w:eastAsia="ar-SA" w:bidi="ar-SA"/>
        </w:rPr>
        <w:t>filial</w:t>
      </w:r>
      <w:r>
        <w:rPr>
          <w:rFonts w:eastAsia="ArialMT" w:cs="Times New Roman" w:ascii="Times New Roman" w:hAnsi="Times New Roman"/>
          <w:b/>
          <w:bCs/>
          <w:lang w:eastAsia="ar-SA" w:bidi="ar-SA"/>
        </w:rPr>
        <w:t xml:space="preserve"> (razão social e CNPJ)</w:t>
      </w:r>
      <w:r>
        <w:rPr>
          <w:rFonts w:eastAsia="ArialMT" w:cs="Times New Roman" w:ascii="Times New Roman" w:hAnsi="Times New Roman"/>
          <w:lang w:eastAsia="ar-SA" w:bidi="ar-SA"/>
        </w:rPr>
        <w:t xml:space="preserve"> da participante que ora se habilita para o certame, exceto o disposto no subitem 3.1.4.I.a, deste instrumento. Entretanto, serão aceitos, para efeito de habilitação, documentos emitidos em nome da matriz e válidos para todas as filiais, desde que esta condição esteja expressa.</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bCs/>
          <w:lang w:eastAsia="ar-SA" w:bidi="ar-SA"/>
        </w:rPr>
      </w:pPr>
      <w:r>
        <w:rPr>
          <w:rFonts w:eastAsia="ArialMT" w:cs="Times New Roman" w:ascii="Times New Roman" w:hAnsi="Times New Roman"/>
          <w:b/>
          <w:bCs/>
          <w:lang w:eastAsia="ar-SA" w:bidi="ar-SA"/>
        </w:rPr>
      </w:r>
    </w:p>
    <w:p>
      <w:pPr>
        <w:pStyle w:val="Heading1"/>
        <w:jc w:val="left"/>
        <w:rPr/>
      </w:pPr>
      <w:r>
        <w:rPr>
          <w:rFonts w:cs="Times New Roman" w:ascii="Times New Roman" w:hAnsi="Times New Roman"/>
          <w:sz w:val="24"/>
          <w:lang w:eastAsia="en-US" w:bidi="ar-SA"/>
        </w:rPr>
        <w:t>4. DA PROPOSTA COMERCIAL – Envelope n.º 2 E DOS CRITÉRIOS DE JULGAMENTO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keepLines/>
        <w:tabs>
          <w:tab w:val="clear" w:pos="720"/>
          <w:tab w:val="left" w:pos="33" w:leader="none"/>
          <w:tab w:val="left" w:pos="1008" w:leader="none"/>
          <w:tab w:val="left" w:pos="1619" w:leader="none"/>
          <w:tab w:val="left" w:pos="2339" w:leader="none"/>
          <w:tab w:val="left" w:pos="3059" w:leader="none"/>
          <w:tab w:val="left" w:pos="3779" w:leader="none"/>
          <w:tab w:val="left" w:pos="4499" w:leader="none"/>
          <w:tab w:val="left" w:pos="5219" w:leader="none"/>
          <w:tab w:val="left" w:pos="5939" w:leader="none"/>
          <w:tab w:val="left" w:pos="6659" w:leader="none"/>
        </w:tabs>
        <w:jc w:val="both"/>
        <w:rPr>
          <w:rFonts w:ascii="Times New Roman" w:hAnsi="Times New Roman" w:cs="Times New Roman"/>
        </w:rPr>
      </w:pPr>
      <w:r>
        <w:rPr>
          <w:rFonts w:cs="Times New Roman" w:ascii="Times New Roman" w:hAnsi="Times New Roman"/>
        </w:rPr>
        <w:t xml:space="preserve">4.1. A PROPOSTA COMERCIAL integrará o Envelope n.º 2 e deverá ser assinada pelo representante legal ou procurador do PROPONENTE e dirigida à COMISSÃO ESPECIAL DE LICITAÇÃO, observado o formato disposto na Declaração de Proposta Comercial (conforme modelo do Edital) e demais condições do EDITAL. </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4.2. Conforme a Declaração de Proposta Comercial (conforme modelo do Edital), a PROPOSTA deverá conter:</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keepLines/>
        <w:numPr>
          <w:ilvl w:val="0"/>
          <w:numId w:val="10"/>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ind w:hanging="1" w:left="284"/>
        <w:jc w:val="both"/>
        <w:rPr>
          <w:rFonts w:ascii="Times New Roman" w:hAnsi="Times New Roman" w:cs="Times New Roman"/>
        </w:rPr>
      </w:pPr>
      <w:r>
        <w:rPr>
          <w:rFonts w:cs="Times New Roman" w:ascii="Times New Roman" w:hAnsi="Times New Roman"/>
        </w:rPr>
        <w:t>A oferta da PROPONENTE quanto ao valor da OUTORGA FIXA, respeitando o valor mínimo de R$ 577.184,50 (quinhentos e setenta e sete mil, cento e oitenta e quatro, e cinquenta centavos), e considerando até 2 (duas) casas depois da vírgula, escrita em números e por extenso, observados os termos e condições previstos neste EDITAL; e</w:t>
      </w:r>
    </w:p>
    <w:p>
      <w:pPr>
        <w:pStyle w:val="Standard"/>
        <w:keepLines/>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ind w:left="284"/>
        <w:rPr>
          <w:rFonts w:ascii="Times New Roman" w:hAnsi="Times New Roman" w:cs="Times New Roman"/>
        </w:rPr>
      </w:pPr>
      <w:r>
        <w:rPr>
          <w:rFonts w:cs="Times New Roman" w:ascii="Times New Roman" w:hAnsi="Times New Roman"/>
        </w:rPr>
      </w:r>
    </w:p>
    <w:p>
      <w:pPr>
        <w:pStyle w:val="Standard"/>
        <w:keepLines/>
        <w:numPr>
          <w:ilvl w:val="0"/>
          <w:numId w:val="10"/>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ind w:hanging="1" w:left="284"/>
        <w:rPr>
          <w:rFonts w:ascii="Times New Roman" w:hAnsi="Times New Roman" w:cs="Times New Roman"/>
        </w:rPr>
      </w:pPr>
      <w:r>
        <w:rPr>
          <w:rFonts w:eastAsia="ArialMT" w:cs="Times New Roman" w:ascii="Times New Roman" w:hAnsi="Times New Roman"/>
          <w:bCs/>
          <w:lang w:eastAsia="ar-SA" w:bidi="ar-SA"/>
        </w:rPr>
        <w:t>Laudo técnico com as informações da PROPONENTE quanto aos dados técnicos, observados os termos e condições previstos neste EDITAL; e</w:t>
      </w:r>
    </w:p>
    <w:p>
      <w:pPr>
        <w:pStyle w:val="ListParagraph"/>
        <w:rPr>
          <w:rFonts w:ascii="Times New Roman" w:hAnsi="Times New Roman" w:cs="Times New Roman"/>
        </w:rPr>
      </w:pPr>
      <w:r>
        <w:rPr>
          <w:rFonts w:cs="Times New Roman" w:ascii="Times New Roman" w:hAnsi="Times New Roman"/>
        </w:rPr>
      </w:r>
    </w:p>
    <w:p>
      <w:pPr>
        <w:pStyle w:val="Standard"/>
        <w:keepLines/>
        <w:numPr>
          <w:ilvl w:val="0"/>
          <w:numId w:val="10"/>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ind w:hanging="1" w:left="284"/>
        <w:rPr>
          <w:rFonts w:ascii="Times New Roman" w:hAnsi="Times New Roman" w:eastAsia="ArialMT" w:cs="Times New Roman"/>
          <w:bCs/>
          <w:lang w:eastAsia="ar-SA" w:bidi="ar-SA"/>
        </w:rPr>
      </w:pPr>
      <w:r>
        <w:rPr>
          <w:rFonts w:eastAsia="ArialMT" w:cs="Times New Roman" w:ascii="Times New Roman" w:hAnsi="Times New Roman"/>
          <w:bCs/>
          <w:lang w:eastAsia="ar-SA" w:bidi="ar-SA"/>
        </w:rPr>
        <w:t>Os dados da PROPONENTE (razão social, o CNPJ, o endereço completo, o número do telefone, e-mail, além do nome do responsável e seus dados para contato).</w:t>
      </w:r>
    </w:p>
    <w:p>
      <w:pPr>
        <w:pStyle w:val="ListParagraph"/>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keepLines/>
        <w:numPr>
          <w:ilvl w:val="0"/>
          <w:numId w:val="10"/>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ind w:hanging="1" w:left="284"/>
        <w:rPr>
          <w:rFonts w:ascii="Times New Roman" w:hAnsi="Times New Roman" w:cs="Times New Roman"/>
        </w:rPr>
      </w:pPr>
      <w:r>
        <w:rPr>
          <w:rFonts w:eastAsia="ArialMT" w:cs="Times New Roman" w:ascii="Times New Roman" w:hAnsi="Times New Roman"/>
          <w:bCs/>
          <w:lang w:eastAsia="ar-SA" w:bidi="ar-SA"/>
        </w:rPr>
        <w:t>Documento de responsabilidade técnica referente ao laudo técnico, devidamente preenchido, assinado e quitado, conforme o órgão competente ao qual o responsável técnico está vinculado, referente às informações do item 5.1.2 (b).</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4.3. A PROPOSTA COMERCIAL é incondicional, irrevogável e irretratável durante seu período de vigência e deverá ter como data base a DATA DE ENTREGA DOS ENVELOPES.</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4.4. A PROPOSTA COMERCIAL será considerada completa e deverá abranger todos os tributos (impostos, taxas, emolumentos, contribuições fiscais e parafiscais), custos relativos a todos os serviços preliminares, complementares ou provisórios necessários à perfeita execução dos SERVIÇOS, custos relativos à mão de obra, encargos sociais e trabalhistas, seguros, administração, equipamentos e instalações necessários à execução do OBJETO da LICITAÇÃO, transporte de material e de pessoal, riscos sob o encargo da CONCESSIONÁRIA, bem como lucro e qualquer despesa, acessória e/ou necessária, não especificada neste instrumento convocatório.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4.5. Cada PROPONENTE deverá apresentar apenas uma PROPOSTA COMERCIAL, sob pena de desclassificação.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4.6. Não serão levadas em consideração quaisquer ofertas ou vantagens não previstas no presente EDITAL, nem preços ou vantagens baseadas nas PROPOSTAS COMERCIAIS de quaisquer dos demais PROPONENTES.</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4.7. Os valores apresentados na PROPOSTA COMERCIAL terão como data-base a DATA DE ENTREGA DOS ENVELOPES e validade de, no mínimo, 180 (cento e oitenta) dias, devendo ser mantidas, neste período, todas as condições nela contidas.</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keepLines/>
        <w:numPr>
          <w:ilvl w:val="0"/>
          <w:numId w:val="198"/>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bCs/>
        </w:rPr>
      </w:pPr>
      <w:r>
        <w:rPr>
          <w:rFonts w:cs="Times New Roman" w:ascii="Times New Roman" w:hAnsi="Times New Roman"/>
          <w:bCs/>
        </w:rPr>
        <w:t>4.7.1. Até 15 (quinze) dias antes do vencimento da PROPOSTA COMERCIAL, a PROPONENTE será notificada para renová-la, podendo recusar-se a fazê-lo hipótese na qual será excluída da LICITAÇÃO.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4.8. Na hipótese de erro no valor da proposta e/ou nas demais condições apresentadas, não serão admitidas retificações por parte da PROPONENTE.</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4.9. Havendo divergência entre o valor apresentado em números e o escrito por extenso, a COMISSÃO ESPECIAL DE LICITAÇÃO procederá e considerará como correto o valor escrito por extenso e fará a devida correção, declarando este como o valor válido ofertado pela PROPONENTE.</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4.10. Sem prejuízo do disposto no item 4.2, os interessados poderão utilizar padronização própria para a apresentação das propostas solicitadas neste EDITAL. Deverão, contudo, observar obrigatoriamente que, nas descrições apresentadas, haja a totalidade das informações para o completo atendimento e entendimento das exigências expressas neste instrumento.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4.11. A classificação das PROPONENTES se dará em ordem decrescente, sendo, portanto, a primeira colocada aquela cuja PROPOSTA COMERCIAL apresentar a maior pontuação.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lang w:eastAsia="ar-SA" w:bidi="ar-SA"/>
        </w:rPr>
      </w:pPr>
      <w:r>
        <w:rPr>
          <w:rFonts w:eastAsia="ArialMT" w:cs="Times New Roman" w:ascii="Times New Roman" w:hAnsi="Times New Roman"/>
          <w:bCs/>
          <w:lang w:eastAsia="ar-SA" w:bidi="ar-SA"/>
        </w:rPr>
        <w:t>4.12. Não poderá ser incluído na PROPOSTA COMERCIAL, nem nos demais volumes dos DOCUMENTOS, o plano de negócios da PROPONENTE, sob pena de desclassificação da PROPONENTE e aplicação de multa prevista neste EDITAL, com sua consequente execução.</w:t>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bCs/>
          <w:lang w:eastAsia="ar-SA" w:bidi="ar-SA"/>
        </w:rPr>
      </w:pPr>
      <w:r>
        <w:rPr>
          <w:rFonts w:eastAsia="ArialMT" w:cs="Times New Roman" w:ascii="Times New Roman" w:hAnsi="Times New Roman"/>
          <w:b/>
          <w:bCs/>
          <w:lang w:eastAsia="ar-SA" w:bidi="ar-SA"/>
        </w:rPr>
      </w:r>
    </w:p>
    <w:p>
      <w:pPr>
        <w:pStyle w:val="Standard"/>
        <w:tabs>
          <w:tab w:val="clear" w:pos="720"/>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bCs/>
          <w:lang w:eastAsia="ar-SA" w:bidi="ar-SA"/>
        </w:rPr>
      </w:pPr>
      <w:r>
        <w:rPr>
          <w:rFonts w:cs="Times New Roman" w:ascii="Times New Roman" w:hAnsi="Times New Roman"/>
          <w:b/>
          <w:lang w:eastAsia="en-US" w:bidi="ar-SA"/>
        </w:rPr>
        <w:t>5. DO JULGAMENTO DAS PROPOSTAS TÉCNICA, DE PREÇO E CLASSIFICAÇÃO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keepLines/>
        <w:tabs>
          <w:tab w:val="clear" w:pos="720"/>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eastAsia="NSimSun" w:cs="Arial"/>
        </w:rPr>
      </w:pPr>
      <w:r>
        <w:rPr>
          <w:rFonts w:eastAsia="MS Mincho" w:cs="Times New Roman" w:ascii="Times New Roman" w:hAnsi="Times New Roman"/>
          <w:bCs/>
          <w:color w:val="00000A"/>
          <w:lang w:eastAsia="ar-SA" w:bidi="ar-SA"/>
        </w:rPr>
        <w:t>5.1.</w:t>
      </w:r>
      <w:r>
        <w:rPr>
          <w:rFonts w:eastAsia="MS Mincho" w:cs="Times New Roman" w:ascii="Times New Roman" w:hAnsi="Times New Roman"/>
          <w:b/>
          <w:bCs/>
          <w:color w:val="00000A"/>
          <w:lang w:eastAsia="ar-SA" w:bidi="ar-SA"/>
        </w:rPr>
        <w:t xml:space="preserve"> NOTA TÉCNICA - </w:t>
      </w:r>
      <w:r>
        <w:rPr>
          <w:rFonts w:eastAsia="MS Mincho" w:cs="Times New Roman" w:ascii="Times New Roman" w:hAnsi="Times New Roman"/>
          <w:bCs/>
          <w:color w:val="00000A"/>
          <w:lang w:eastAsia="ar-SA" w:bidi="ar-SA"/>
        </w:rPr>
        <w:t>A comprovação da aferição da capacidade técnica para desempenho de atividades pertinentes e compatíveis em quantidade e prazos com o objeto da presente licitação, atribuindo-se uma Nota Técnica, que será considerada para julgamento da ordem de classificação, a qual se levando em conta os serviços que atualmente as empresas prestam nos locais onde têm atuação será apurada mediante os seguintes critérios:</w:t>
      </w:r>
    </w:p>
    <w:p>
      <w:pPr>
        <w:pStyle w:val="Normal"/>
        <w:keepLines/>
        <w:tabs>
          <w:tab w:val="clear" w:pos="720"/>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eastAsia="NSimSun" w:cs="Arial"/>
        </w:rPr>
      </w:pPr>
      <w:r>
        <w:rPr>
          <w:rFonts w:eastAsia="NSimSun" w:cs="Arial"/>
        </w:rPr>
      </w:r>
    </w:p>
    <w:p>
      <w:pPr>
        <w:pStyle w:val="Standard"/>
        <w:keepLines/>
        <w:numPr>
          <w:ilvl w:val="0"/>
          <w:numId w:val="199"/>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bCs/>
        </w:rPr>
      </w:pPr>
      <w:r>
        <w:rPr>
          <w:rFonts w:cs="Times New Roman" w:ascii="Times New Roman" w:hAnsi="Times New Roman"/>
          <w:bCs/>
        </w:rPr>
        <w:t>5.1.1. A COMISSÃO ESPECIAL DE LICITAÇÃO atribuirá nota para cada um dos quesitos.</w:t>
      </w:r>
    </w:p>
    <w:p>
      <w:pPr>
        <w:pStyle w:val="Standard"/>
        <w:keepLines/>
        <w:numPr>
          <w:ilvl w:val="0"/>
          <w:numId w:val="200"/>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bCs/>
        </w:rPr>
      </w:pPr>
      <w:r>
        <w:rPr>
          <w:rFonts w:cs="Times New Roman" w:ascii="Times New Roman" w:hAnsi="Times New Roman"/>
          <w:bCs/>
        </w:rPr>
      </w:r>
    </w:p>
    <w:p>
      <w:pPr>
        <w:pStyle w:val="Standard"/>
        <w:keepLines/>
        <w:numPr>
          <w:ilvl w:val="0"/>
          <w:numId w:val="201"/>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bCs/>
        </w:rPr>
      </w:pPr>
      <w:r>
        <w:rPr>
          <w:rFonts w:cs="Times New Roman" w:ascii="Times New Roman" w:hAnsi="Times New Roman"/>
          <w:bCs/>
        </w:rPr>
        <w:t>5.1.2. A pontuação de cada um dos quesitos corresponderá à nota atribuída a seguir indicados:</w:t>
      </w:r>
    </w:p>
    <w:p>
      <w:pPr>
        <w:pStyle w:val="Normal"/>
        <w:keepLines/>
        <w:tabs>
          <w:tab w:val="clear" w:pos="720"/>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eastAsia="NSimSun" w:cs="Arial"/>
        </w:rPr>
      </w:pPr>
      <w:r>
        <w:rPr>
          <w:rFonts w:eastAsia="NSimSun" w:cs="Arial"/>
        </w:rPr>
      </w:r>
    </w:p>
    <w:p>
      <w:pPr>
        <w:pStyle w:val="Standard"/>
        <w:keepLines/>
        <w:numPr>
          <w:ilvl w:val="0"/>
          <w:numId w:val="11"/>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rPr>
          <w:rFonts w:ascii="Times New Roman" w:hAnsi="Times New Roman" w:cs="Times New Roman"/>
        </w:rPr>
      </w:pPr>
      <w:r>
        <w:rPr>
          <w:rFonts w:cs="Times New Roman" w:ascii="Times New Roman" w:hAnsi="Times New Roman"/>
        </w:rPr>
        <w:tab/>
        <w:t>Experiência no mercado dos serviços licitados, mediante comprovação pelo contrato social ou atestado de órgão público ou privado de que a licitante presta ou prestou serviços funerários mediante contrato de concessão ou permissão: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TABELA DE PONTOS – EXPERIÊNCIA (a)</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Parâmetros (Experiência em operação em anos)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Pontuação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5 a 10 (+ fração) 1 Ponto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11 – 15 (+ fração) 2 Pontos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16 – 20 (+fração) 3 Pontos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Acima de 21 4 Pontos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NSimSun" w:cs="Arial"/>
        </w:rPr>
      </w:r>
    </w:p>
    <w:p>
      <w:pPr>
        <w:pStyle w:val="Standard"/>
        <w:keepLines/>
        <w:numPr>
          <w:ilvl w:val="0"/>
          <w:numId w:val="11"/>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rPr>
          <w:rFonts w:ascii="Times New Roman" w:hAnsi="Times New Roman" w:cs="Times New Roman"/>
        </w:rPr>
      </w:pPr>
      <w:r>
        <w:rPr>
          <w:rFonts w:cs="Times New Roman" w:ascii="Times New Roman" w:hAnsi="Times New Roman"/>
        </w:rPr>
        <w:tab/>
        <w:t>Área construída total para prestação dos serviços (mesma edificação ou edificações separadas):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TABELA DE PONTOS – INSTALAÇÕES (b)</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Pontuação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até 150 m² 1 Ponto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151 à 300 m² 2 Pontos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Acima de 300 m² 3 Pontos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keepLines/>
        <w:numPr>
          <w:ilvl w:val="0"/>
          <w:numId w:val="11"/>
        </w:numPr>
        <w:tabs>
          <w:tab w:val="clear" w:pos="720"/>
          <w:tab w:val="left" w:pos="567" w:leader="none"/>
          <w:tab w:val="left" w:pos="10683" w:leader="none"/>
          <w:tab w:val="left" w:pos="11403" w:leader="none"/>
          <w:tab w:val="left" w:pos="12123" w:leader="none"/>
          <w:tab w:val="left" w:pos="12843" w:leader="none"/>
          <w:tab w:val="left" w:pos="13563" w:leader="none"/>
          <w:tab w:val="left" w:pos="14283" w:leader="none"/>
          <w:tab w:val="left" w:pos="15003" w:leader="none"/>
        </w:tabs>
        <w:rPr>
          <w:rFonts w:ascii="Times New Roman" w:hAnsi="Times New Roman" w:cs="Times New Roman"/>
        </w:rPr>
      </w:pPr>
      <w:r>
        <w:rPr>
          <w:rFonts w:cs="Times New Roman" w:ascii="Times New Roman" w:hAnsi="Times New Roman"/>
        </w:rPr>
        <w:tab/>
        <w:t>Veículos a serem utilizados na prestação dos serviços, com no máximo 15 (quinze) anos de uso, sendo que, no mínimo, um deve ser o fúnebre e um de apoio: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TABELA DE PONTOS – VEÍCULOS (c)</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Pontuação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(dois) veículos 1 Ponto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eastAsia="NSimSun" w:cs="Arial"/>
        </w:rPr>
      </w:pPr>
      <w:r>
        <w:rPr>
          <w:rFonts w:eastAsia="ArialMT" w:cs="Times New Roman" w:ascii="Times New Roman" w:hAnsi="Times New Roman"/>
          <w:color w:val="000000"/>
          <w:lang w:bidi="ar-SA"/>
        </w:rPr>
        <w:t>(três) veículos ou mais 2 Pontos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keepLines/>
        <w:numPr>
          <w:ilvl w:val="0"/>
          <w:numId w:val="202"/>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bCs/>
        </w:rPr>
      </w:pPr>
      <w:r>
        <w:rPr>
          <w:rFonts w:cs="Times New Roman" w:ascii="Times New Roman" w:hAnsi="Times New Roman"/>
          <w:bCs/>
        </w:rPr>
        <w:t>5.1.3. O somatório das pontuações de cada licitante será relativizado à pontuação máxima, considerado truncamento na quarta casa decimal, a fim de determinar o índice técnico do licitante (it):</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eastAsia="NSimSun" w:cs="Arial"/>
        </w:rPr>
      </w:pPr>
      <w:r>
        <w:rPr>
          <w:rFonts w:eastAsia="ArialMT" w:cs="Times New Roman" w:ascii="Times New Roman" w:hAnsi="Times New Roman"/>
          <w:color w:val="000000"/>
          <w:lang w:bidi="ar-SA"/>
        </w:rPr>
        <w:t xml:space="preserve">                                                                   </w:t>
      </w:r>
      <w:r>
        <w:rPr/>
      </w:r>
      <m:oMath xmlns:m="http://schemas.openxmlformats.org/officeDocument/2006/math">
        <m:sSub>
          <m:e/>
          <m:sub>
            <m:r>
              <w:rPr>
                <w:rFonts w:ascii="Cambria Math" w:hAnsi="Cambria Math"/>
              </w:rPr>
              <m:t xml:space="preserve">i</m:t>
            </m:r>
          </m:sub>
        </m:sSub>
        <m:r>
          <w:rPr>
            <w:rFonts w:ascii="Cambria Math" w:hAnsi="Cambria Math"/>
          </w:rPr>
          <m:t xml:space="preserve">=</m:t>
        </m:r>
        <m:f>
          <m:num>
            <m:d>
              <m:dPr>
                <m:begChr m:val="("/>
                <m:endChr m:val=")"/>
              </m:dPr>
              <m:e>
                <m:r>
                  <w:rPr>
                    <w:rFonts w:ascii="Cambria Math" w:hAnsi="Cambria Math"/>
                  </w:rPr>
                  <m:t xml:space="preserve">a</m:t>
                </m:r>
              </m:e>
            </m:d>
            <m:r>
              <w:rPr>
                <w:rFonts w:ascii="Cambria Math" w:hAnsi="Cambria Math"/>
              </w:rPr>
              <m:t xml:space="preserve">+</m:t>
            </m:r>
            <m:d>
              <m:dPr>
                <m:begChr m:val="("/>
                <m:endChr m:val=")"/>
              </m:dPr>
              <m:e>
                <m:r>
                  <w:rPr>
                    <w:rFonts w:ascii="Cambria Math" w:hAnsi="Cambria Math"/>
                  </w:rPr>
                  <m:t xml:space="preserve">b</m:t>
                </m:r>
              </m:e>
            </m:d>
            <m:r>
              <w:rPr>
                <w:rFonts w:ascii="Cambria Math" w:hAnsi="Cambria Math"/>
              </w:rPr>
              <m:t xml:space="preserve">+</m:t>
            </m:r>
            <m:r>
              <w:rPr>
                <w:rFonts w:ascii="Cambria Math" w:hAnsi="Cambria Math"/>
              </w:rPr>
              <m:t xml:space="preserve">(</m:t>
            </m:r>
            <m:r>
              <w:rPr>
                <w:rFonts w:ascii="Cambria Math" w:hAnsi="Cambria Math"/>
              </w:rPr>
              <m:t xml:space="preserve">c</m:t>
            </m:r>
            <m:r>
              <w:rPr>
                <w:rFonts w:ascii="Cambria Math" w:hAnsi="Cambria Math"/>
              </w:rPr>
              <m:t xml:space="preserve">)</m:t>
            </m:r>
          </m:num>
          <m:den>
            <m:r>
              <w:rPr>
                <w:rFonts w:ascii="Cambria Math" w:hAnsi="Cambria Math"/>
              </w:rPr>
              <m:t xml:space="preserve">9</m:t>
            </m:r>
          </m:den>
        </m:f>
      </m:oMath>
      <w:r>
        <w:rPr>
          <w:rFonts w:eastAsia="ArialMT" w:cs="Times New Roman" w:ascii="Times New Roman" w:hAnsi="Times New Roman"/>
          <w:color w:val="000000"/>
          <w:lang w:bidi="ar-SA"/>
        </w:rPr>
        <w:t xml:space="preserve">                                                                  </w:t>
      </w:r>
      <w:r>
        <w:rPr>
          <w:rFonts w:eastAsia="ArialMT" w:cs="Times New Roman" w:ascii="Times New Roman" w:hAnsi="Times New Roman"/>
          <w:color w:val="000000"/>
          <w:lang w:bidi="ar-SA"/>
        </w:rPr>
        <w:t>(1)</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firstLine="426"/>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onde: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firstLine="426"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(a) - EXPERIÊNCIA</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firstLine="426"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(b) - INSTALAÇÕES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firstLine="426"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(c) – VEÍCULOS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firstLine="426"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i – licitante i</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eastAsia="NSimSun" w:cs="Arial"/>
        </w:rPr>
      </w:pPr>
      <w:r>
        <w:rPr>
          <w:rFonts w:eastAsia="MS Mincho" w:cs="Times New Roman" w:ascii="Times New Roman" w:hAnsi="Times New Roman"/>
          <w:bCs/>
          <w:color w:val="00000A"/>
          <w:lang w:eastAsia="ar-SA" w:bidi="ar-SA"/>
        </w:rPr>
        <w:t>5.2.</w:t>
      </w:r>
      <w:r>
        <w:rPr>
          <w:rFonts w:eastAsia="MS Mincho" w:cs="Times New Roman" w:ascii="Times New Roman" w:hAnsi="Times New Roman"/>
          <w:b/>
          <w:bCs/>
          <w:color w:val="00000A"/>
          <w:lang w:eastAsia="ar-SA" w:bidi="ar-SA"/>
        </w:rPr>
        <w:t xml:space="preserve"> NOTA DE PREÇO – </w:t>
      </w:r>
      <w:r>
        <w:rPr>
          <w:rFonts w:eastAsia="MS Mincho" w:cs="Times New Roman" w:ascii="Times New Roman" w:hAnsi="Times New Roman"/>
          <w:bCs/>
          <w:color w:val="00000A"/>
          <w:lang w:eastAsia="ar-SA" w:bidi="ar-SA"/>
        </w:rPr>
        <w:t>O preço ofertado para a OUTORGA FIXA será relativizado à maior oferta entre os licitantes, considerado o truncamento na quarta casa decimal, a fim de determinar o índice de preço do licitante (ip):</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eastAsia="NSimSun" w:cs="Arial"/>
        </w:rPr>
      </w:pPr>
      <w:r>
        <w:rPr>
          <w:rFonts w:eastAsia="ArialMT" w:cs="Times New Roman" w:ascii="Times New Roman" w:hAnsi="Times New Roman"/>
          <w:color w:val="000000"/>
          <w:lang w:bidi="ar-SA"/>
        </w:rPr>
        <w:t xml:space="preserve">                                                                 </w:t>
      </w:r>
      <w:r>
        <w:rPr/>
      </w:r>
      <m:oMath xmlns:m="http://schemas.openxmlformats.org/officeDocument/2006/math">
        <m:sSub>
          <m:e>
            <m:r>
              <w:rPr>
                <w:rFonts w:ascii="Cambria Math" w:hAnsi="Cambria Math"/>
              </w:rPr>
              <m:t xml:space="preserve">ip</m:t>
            </m:r>
          </m:e>
          <m:sub>
            <m:r>
              <w:rPr>
                <w:rFonts w:ascii="Cambria Math" w:hAnsi="Cambria Math"/>
              </w:rPr>
              <m:t xml:space="preserve">i</m:t>
            </m:r>
          </m:sub>
        </m:sSub>
        <m:r>
          <w:rPr>
            <w:rFonts w:ascii="Cambria Math" w:hAnsi="Cambria Math"/>
          </w:rPr>
          <m:t xml:space="preserve">=</m:t>
        </m:r>
        <m:f>
          <m:num>
            <m:sSub>
              <m:e>
                <m:r>
                  <w:rPr>
                    <w:rFonts w:ascii="Cambria Math" w:hAnsi="Cambria Math"/>
                  </w:rPr>
                  <m:t xml:space="preserve">Oferta</m:t>
                </m:r>
              </m:e>
              <m:sub>
                <m:r>
                  <w:rPr>
                    <w:rFonts w:ascii="Cambria Math" w:hAnsi="Cambria Math"/>
                  </w:rPr>
                  <m:t xml:space="preserve">i</m:t>
                </m:r>
              </m:sub>
            </m:sSub>
          </m:num>
          <m:den>
            <m:r>
              <w:rPr>
                <w:rFonts w:ascii="Cambria Math" w:hAnsi="Cambria Math"/>
              </w:rPr>
              <m:t xml:space="preserve">Maior</m:t>
            </m:r>
            <m:r>
              <w:rPr>
                <w:rFonts w:ascii="Cambria Math" w:hAnsi="Cambria Math"/>
              </w:rPr>
              <m:t xml:space="preserve">Oferta</m:t>
            </m:r>
          </m:den>
        </m:f>
      </m:oMath>
      <w:r>
        <w:rPr>
          <w:rFonts w:eastAsia="ArialMT" w:cs="Times New Roman" w:ascii="Times New Roman" w:hAnsi="Times New Roman"/>
          <w:color w:val="000000"/>
          <w:lang w:bidi="ar-SA"/>
        </w:rPr>
        <w:t xml:space="preserve">                                                               </w:t>
      </w:r>
      <w:r>
        <w:rPr>
          <w:rFonts w:eastAsia="ArialMT" w:cs="Times New Roman" w:ascii="Times New Roman" w:hAnsi="Times New Roman"/>
          <w:color w:val="000000"/>
          <w:lang w:bidi="ar-SA"/>
        </w:rPr>
        <w:t>(2)</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onde: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eastAsia="NSimSun" w:cs="Arial"/>
        </w:rPr>
      </w:pPr>
      <w:r>
        <w:rPr>
          <w:rFonts w:eastAsia="ArialMT" w:cs="Times New Roman" w:ascii="Times New Roman" w:hAnsi="Times New Roman"/>
          <w:color w:val="000000"/>
          <w:lang w:bidi="ar-SA"/>
        </w:rPr>
        <w:t>Ofertaᵢ</w:t>
      </w:r>
      <w:r>
        <w:rPr>
          <w:rFonts w:eastAsia="ArialMT" w:cs="Times New Roman" w:ascii="Forte" w:hAnsi="Forte"/>
          <w:color w:val="000000"/>
          <w:lang w:bidi="ar-SA"/>
        </w:rPr>
        <w:t xml:space="preserve"> </w:t>
      </w:r>
      <w:r>
        <w:rPr>
          <w:rFonts w:eastAsia="ArialMT" w:cs="Times New Roman" w:ascii="Times New Roman" w:hAnsi="Times New Roman"/>
          <w:color w:val="000000"/>
          <w:lang w:bidi="ar-SA"/>
        </w:rPr>
        <w:t>– Oferta do licitante i em análise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Maior Oferta – Maior oferta entre os licitantes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i – licitante i</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eastAsia="NSimSun" w:cs="Arial"/>
        </w:rPr>
      </w:pPr>
      <w:r>
        <w:rPr>
          <w:rFonts w:eastAsia="MS Mincho" w:cs="Times New Roman" w:ascii="Times New Roman" w:hAnsi="Times New Roman"/>
          <w:bCs/>
          <w:color w:val="00000A"/>
          <w:lang w:eastAsia="ar-SA" w:bidi="ar-SA"/>
        </w:rPr>
        <w:t>5.3.</w:t>
      </w:r>
      <w:r>
        <w:rPr>
          <w:rFonts w:eastAsia="MS Mincho" w:cs="Times New Roman" w:ascii="Times New Roman" w:hAnsi="Times New Roman"/>
          <w:b/>
          <w:bCs/>
          <w:color w:val="00000A"/>
          <w:lang w:eastAsia="ar-SA" w:bidi="ar-SA"/>
        </w:rPr>
        <w:t xml:space="preserve"> NOTA FINAL</w:t>
      </w:r>
      <w:r>
        <w:rPr>
          <w:rFonts w:eastAsia="MS Mincho" w:cs="Times New Roman" w:ascii="Times New Roman" w:hAnsi="Times New Roman"/>
          <w:bCs/>
          <w:color w:val="00000A"/>
          <w:lang w:eastAsia="ar-SA" w:bidi="ar-SA"/>
        </w:rPr>
        <w:t xml:space="preserve"> – A nota final para cada licitante será a ponderação entre o índice técnico (it) e o índice preço (ip) na proporção de 50% para cada índice, resultando um valor entre 0 (zero) e 1 (um):</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MS Mincho" w:cs="Times New Roman"/>
          <w:bCs/>
          <w:color w:val="00000A"/>
          <w:lang w:eastAsia="ar-SA" w:bidi="ar-SA"/>
        </w:rPr>
      </w:pPr>
      <w:r>
        <w:rPr>
          <w:rFonts w:eastAsia="MS Mincho" w:cs="Times New Roman" w:ascii="Times New Roman" w:hAnsi="Times New Roman"/>
          <w:bCs/>
          <w:color w:val="00000A"/>
          <w:lang w:eastAsia="ar-SA"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eastAsia="NSimSun" w:cs="Arial"/>
        </w:rPr>
      </w:pPr>
      <w:r>
        <w:rPr>
          <w:rFonts w:eastAsia="MS Mincho" w:cs="Times New Roman" w:ascii="Times New Roman" w:hAnsi="Times New Roman"/>
          <w:color w:val="000000"/>
          <w:lang w:bidi="ar-SA"/>
        </w:rPr>
        <w:t xml:space="preserve">                                                        </w:t>
      </w:r>
      <w:r>
        <w:rPr/>
      </w:r>
      <m:oMath xmlns:m="http://schemas.openxmlformats.org/officeDocument/2006/math">
        <m:sSub>
          <m:e>
            <m:r>
              <w:rPr>
                <w:rFonts w:ascii="Cambria Math" w:hAnsi="Cambria Math"/>
              </w:rPr>
              <m:t xml:space="preserve">nf</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r>
          <w:rPr>
            <w:rFonts w:ascii="Cambria Math" w:hAnsi="Cambria Math"/>
          </w:rPr>
          <m:t xml:space="preserve">,5</m:t>
        </m:r>
        <m:r>
          <w:rPr>
            <w:rFonts w:ascii="Cambria Math" w:hAnsi="Cambria Math"/>
          </w:rPr>
          <m:t xml:space="preserve">∗</m:t>
        </m:r>
        <m:sSub>
          <m:e/>
          <m:sub>
            <m:r>
              <w:rPr>
                <w:rFonts w:ascii="Cambria Math" w:hAnsi="Cambria Math"/>
              </w:rPr>
              <m:t xml:space="preserve">i</m:t>
            </m:r>
          </m:sub>
        </m:sSub>
        <m:r>
          <w:rPr>
            <w:rFonts w:ascii="Cambria Math" w:hAnsi="Cambria Math"/>
          </w:rPr>
          <m:t xml:space="preserve">+</m:t>
        </m:r>
        <m:r>
          <w:rPr>
            <w:rFonts w:ascii="Cambria Math" w:hAnsi="Cambria Math"/>
          </w:rPr>
          <m:t xml:space="preserve">0</m:t>
        </m:r>
        <m:r>
          <w:rPr>
            <w:rFonts w:ascii="Cambria Math" w:hAnsi="Cambria Math"/>
          </w:rPr>
          <m:t xml:space="preserve">,5</m:t>
        </m:r>
        <m:r>
          <w:rPr>
            <w:rFonts w:ascii="Cambria Math" w:hAnsi="Cambria Math"/>
          </w:rPr>
          <m:t xml:space="preserve">∗</m:t>
        </m:r>
        <m:sSub>
          <m:e>
            <m:r>
              <w:rPr>
                <w:rFonts w:ascii="Cambria Math" w:hAnsi="Cambria Math"/>
              </w:rPr>
              <m:t xml:space="preserve">ip</m:t>
            </m:r>
          </m:e>
          <m:sub>
            <m:r>
              <w:rPr>
                <w:rFonts w:ascii="Cambria Math" w:hAnsi="Cambria Math"/>
              </w:rPr>
              <m:t xml:space="preserve">i</m:t>
            </m:r>
          </m:sub>
        </m:sSub>
      </m:oMath>
      <w:r>
        <w:rPr>
          <w:rFonts w:eastAsia="MS Mincho" w:cs="Times New Roman" w:ascii="Times New Roman" w:hAnsi="Times New Roman"/>
          <w:color w:val="000000"/>
          <w:lang w:bidi="ar-SA"/>
        </w:rPr>
        <w:t xml:space="preserve">                                                                </w:t>
      </w:r>
      <w:r>
        <w:rPr>
          <w:rFonts w:eastAsia="MS Mincho" w:cs="Times New Roman" w:ascii="Times New Roman" w:hAnsi="Times New Roman"/>
          <w:color w:val="000000"/>
          <w:lang w:bidi="ar-SA"/>
        </w:rPr>
        <w:t>(3)</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onde: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eastAsia="NSimSun" w:cs="Arial"/>
        </w:rPr>
      </w:pPr>
      <w:r>
        <w:rPr/>
      </w:r>
      <m:oMath xmlns:m="http://schemas.openxmlformats.org/officeDocument/2006/math">
        <m:sSub>
          <m:e>
            <m:r>
              <w:rPr>
                <w:rFonts w:ascii="Cambria Math" w:hAnsi="Cambria Math"/>
              </w:rPr>
              <m:t xml:space="preserve">nf</m:t>
            </m:r>
          </m:e>
          <m:sub>
            <m:r>
              <w:rPr>
                <w:rFonts w:ascii="Cambria Math" w:hAnsi="Cambria Math"/>
              </w:rPr>
              <m:t xml:space="preserve">i</m:t>
            </m:r>
          </m:sub>
        </m:sSub>
      </m:oMath>
      <w:r>
        <w:rPr>
          <w:rFonts w:eastAsia="ArialMT" w:cs="Times New Roman" w:ascii="Times New Roman" w:hAnsi="Times New Roman"/>
          <w:color w:val="000000"/>
          <w:lang w:bidi="ar-SA"/>
        </w:rPr>
        <w:t>- nota final do licitante i em análise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eastAsia="NSimSun" w:cs="Arial"/>
        </w:rPr>
      </w:pPr>
      <w:r>
        <w:rPr/>
      </w:r>
      <m:oMath xmlns:m="http://schemas.openxmlformats.org/officeDocument/2006/math">
        <m:sSub>
          <m:e/>
          <m:sub>
            <m:r>
              <w:rPr>
                <w:rFonts w:ascii="Cambria Math" w:hAnsi="Cambria Math"/>
              </w:rPr>
              <m:t xml:space="preserve">i</m:t>
            </m:r>
          </m:sub>
        </m:sSub>
      </m:oMath>
      <w:r>
        <w:rPr>
          <w:rFonts w:eastAsia="ArialMT" w:cs="Times New Roman" w:ascii="Times New Roman" w:hAnsi="Times New Roman"/>
          <w:color w:val="000000"/>
          <w:lang w:bidi="ar-SA"/>
        </w:rPr>
        <w:t xml:space="preserve"> – </w:t>
      </w:r>
      <w:r>
        <w:rPr>
          <w:rFonts w:eastAsia="ArialMT" w:cs="Times New Roman" w:ascii="Times New Roman" w:hAnsi="Times New Roman"/>
          <w:color w:val="000000"/>
          <w:lang w:bidi="ar-SA"/>
        </w:rPr>
        <w:t>índice técnico do licitante i em análise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eastAsia="NSimSun" w:cs="Arial"/>
        </w:rPr>
      </w:pPr>
      <w:r>
        <w:rPr/>
      </w:r>
      <m:oMath xmlns:m="http://schemas.openxmlformats.org/officeDocument/2006/math">
        <m:sSub>
          <m:e>
            <m:r>
              <w:rPr>
                <w:rFonts w:ascii="Cambria Math" w:hAnsi="Cambria Math"/>
              </w:rPr>
              <m:t xml:space="preserve">ip</m:t>
            </m:r>
          </m:e>
          <m:sub>
            <m:r>
              <w:rPr>
                <w:rFonts w:ascii="Cambria Math" w:hAnsi="Cambria Math"/>
              </w:rPr>
              <m:t xml:space="preserve">i</m:t>
            </m:r>
          </m:sub>
        </m:sSub>
      </m:oMath>
      <w:r>
        <w:rPr>
          <w:rFonts w:eastAsia="ArialMT" w:cs="Times New Roman" w:ascii="Times New Roman" w:hAnsi="Times New Roman"/>
          <w:color w:val="000000"/>
          <w:lang w:bidi="ar-SA"/>
        </w:rPr>
        <w:t xml:space="preserve"> – </w:t>
      </w:r>
      <w:r>
        <w:rPr>
          <w:rFonts w:eastAsia="ArialMT" w:cs="Times New Roman" w:ascii="Times New Roman" w:hAnsi="Times New Roman"/>
          <w:color w:val="000000"/>
          <w:lang w:bidi="ar-SA"/>
        </w:rPr>
        <w:t>índice técnico do licitante i em análise</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i – licitante i</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5.4. As propostas comerciais serão julgadas, avaliadas e classificadas de acordo com os fatores enunciados neste Edital, sendo que a ordem de classificação será decrescente a partir da licitante com maior pontuação e indicada na ata da sessão.</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5.5. As licitantes que não obtiverem pontuação mínima, em qualquer dos quesitos, serão automaticamente desclassificadas.</w:t>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Normal"/>
        <w:widowControl/>
        <w:tabs>
          <w:tab w:val="clear" w:pos="720"/>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5.6. Ocorrendo empate na Nota Final entre 02 (duas) ou mais licitantes o desempate será realizado pela Comissão de Licitação, no ato, por sorteio na presença dos interessados presentes, nos termos do na forma do art. 60º, § 2º, da Lei nº 14.133, de 1º de abril de 2021, para o qual serão convocados os representantes credenciados dos licitantes empatados.</w:t>
      </w:r>
    </w:p>
    <w:p>
      <w:pPr>
        <w:pStyle w:val="Standard"/>
        <w:tabs>
          <w:tab w:val="clear" w:pos="720"/>
          <w:tab w:val="left" w:pos="0" w:leader="none"/>
          <w:tab w:val="left" w:pos="4111" w:leader="none"/>
        </w:tabs>
        <w:jc w:val="both"/>
        <w:rPr>
          <w:rFonts w:ascii="Times New Roman" w:hAnsi="Times New Roman" w:cs="Times New Roman"/>
        </w:rPr>
      </w:pPr>
      <w:r>
        <w:rPr>
          <w:rFonts w:cs="Times New Roman" w:ascii="Times New Roman" w:hAnsi="Times New Roman"/>
        </w:rPr>
      </w:r>
    </w:p>
    <w:p>
      <w:pPr>
        <w:pStyle w:val="Heading1"/>
        <w:jc w:val="left"/>
        <w:rPr>
          <w:rFonts w:ascii="Times New Roman" w:hAnsi="Times New Roman" w:cs="Times New Roman"/>
          <w:sz w:val="24"/>
          <w:lang w:eastAsia="en-US" w:bidi="ar-SA"/>
        </w:rPr>
      </w:pPr>
      <w:r>
        <w:rPr>
          <w:rFonts w:cs="Times New Roman" w:ascii="Times New Roman" w:hAnsi="Times New Roman"/>
          <w:sz w:val="24"/>
          <w:lang w:eastAsia="en-US" w:bidi="ar-SA"/>
        </w:rPr>
        <w:t>6. DOCUMENTAÇÃO NECESSÁRIA PARA ASSINATURA DO CONTRATO</w:t>
      </w:r>
    </w:p>
    <w:p>
      <w:pPr>
        <w:pStyle w:val="Standard"/>
        <w:rPr>
          <w:rFonts w:ascii="Times New Roman" w:hAnsi="Times New Roman" w:cs="Times New Roman"/>
          <w:lang w:eastAsia="en-US" w:bidi="ar-SA"/>
        </w:rPr>
      </w:pPr>
      <w:r>
        <w:rPr>
          <w:rFonts w:cs="Times New Roman" w:ascii="Times New Roman" w:hAnsi="Times New Roman"/>
          <w:lang w:eastAsia="en-US" w:bidi="ar-SA"/>
        </w:rPr>
      </w:r>
    </w:p>
    <w:p>
      <w:pPr>
        <w:pStyle w:val="Standard"/>
        <w:numPr>
          <w:ilvl w:val="0"/>
          <w:numId w:val="203"/>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pPr>
      <w:r>
        <w:rPr>
          <w:rFonts w:cs="Times New Roman" w:ascii="Times New Roman" w:hAnsi="Times New Roman"/>
          <w:b/>
          <w:bCs/>
        </w:rPr>
        <w:t xml:space="preserve">6.1. </w:t>
      </w:r>
      <w:r>
        <w:rPr>
          <w:rFonts w:eastAsia="Times New Roman" w:cs="Times New Roman" w:ascii="Times New Roman" w:hAnsi="Times New Roman"/>
          <w:lang w:bidi="ar-SA"/>
        </w:rPr>
        <w:t xml:space="preserve">A(s) participante(s) selecionada(s) terá(ão) o prazo de até </w:t>
      </w:r>
      <w:r>
        <w:rPr>
          <w:rFonts w:eastAsia="Times New Roman" w:cs="Times New Roman" w:ascii="Times New Roman" w:hAnsi="Times New Roman"/>
          <w:b/>
          <w:bCs/>
          <w:lang w:bidi="ar-SA"/>
        </w:rPr>
        <w:t xml:space="preserve">15 dias consecutivos </w:t>
      </w:r>
      <w:r>
        <w:rPr>
          <w:rFonts w:eastAsia="Times New Roman" w:cs="Times New Roman" w:ascii="Times New Roman" w:hAnsi="Times New Roman"/>
          <w:lang w:bidi="ar-SA"/>
        </w:rPr>
        <w:t>para apresentação da documentação prevista abaixo ao Setor Financeiro da Secretaria requisitante, e para assinatura do contrato, sendo que o referido prazo será contado da data de homologação da licitação pelo Município, publicada no DOE.</w:t>
      </w:r>
    </w:p>
    <w:p>
      <w:pPr>
        <w:pStyle w:val="Standard"/>
        <w:numPr>
          <w:ilvl w:val="0"/>
          <w:numId w:val="204"/>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cs="Times New Roman"/>
        </w:rPr>
      </w:pPr>
      <w:r>
        <w:rPr>
          <w:rFonts w:cs="Times New Roman" w:ascii="Times New Roman" w:hAnsi="Times New Roman"/>
        </w:rPr>
      </w:r>
    </w:p>
    <w:p>
      <w:pPr>
        <w:pStyle w:val="Standard"/>
        <w:numPr>
          <w:ilvl w:val="0"/>
          <w:numId w:val="205"/>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Fonts w:eastAsia="Times New Roman" w:cs="Times New Roman" w:ascii="Times New Roman" w:hAnsi="Times New Roman"/>
          <w:b/>
        </w:rPr>
        <w:t xml:space="preserve">6.1.1. </w:t>
      </w:r>
      <w:r>
        <w:rPr>
          <w:rFonts w:eastAsia="Times New Roman" w:cs="Times New Roman" w:ascii="Times New Roman" w:hAnsi="Times New Roman"/>
          <w:lang w:bidi="ar-SA"/>
        </w:rPr>
        <w:t>A(s) participante(s) selecionada(s)</w:t>
      </w:r>
      <w:r>
        <w:rPr>
          <w:rFonts w:eastAsia="Times New Roman" w:cs="Times New Roman" w:ascii="Times New Roman" w:hAnsi="Times New Roman"/>
        </w:rPr>
        <w:t xml:space="preserve"> deverá(ão), obrigatoriamente, atender às seguintes condições para assinatura do contrato, apresentando:</w:t>
      </w:r>
    </w:p>
    <w:p>
      <w:pPr>
        <w:pStyle w:val="Default"/>
        <w:numPr>
          <w:ilvl w:val="0"/>
          <w:numId w:val="206"/>
        </w:numPr>
        <w:ind w:left="1134"/>
        <w:jc w:val="both"/>
        <w:textAlignment w:val="top"/>
        <w:rPr>
          <w:color w:val="auto"/>
        </w:rPr>
      </w:pPr>
      <w:r>
        <w:rPr>
          <w:color w:val="auto"/>
        </w:rPr>
      </w:r>
    </w:p>
    <w:p>
      <w:pPr>
        <w:pStyle w:val="Standard"/>
        <w:tabs>
          <w:tab w:val="clear" w:pos="720"/>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pPr>
      <w:r>
        <w:rPr>
          <w:rFonts w:eastAsia="Times New Roman" w:cs="Times New Roman" w:ascii="Times New Roman" w:hAnsi="Times New Roman"/>
          <w:b/>
          <w:bCs/>
          <w:lang w:eastAsia="pt-BR"/>
        </w:rPr>
        <w:t xml:space="preserve">a) Comprovante de pagamento da primeira parcela da outorga fixa, </w:t>
      </w:r>
      <w:r>
        <w:rPr>
          <w:rFonts w:eastAsia="Times New Roman" w:cs="Times New Roman" w:ascii="Times New Roman" w:hAnsi="Times New Roman"/>
          <w:lang w:eastAsia="pt-BR"/>
        </w:rPr>
        <w:t>no valor de um décimo da respectiva proposta comercial</w:t>
      </w:r>
      <w:r>
        <w:rPr>
          <w:rFonts w:eastAsia="Times New Roman" w:cs="Times New Roman" w:ascii="Times New Roman" w:hAnsi="Times New Roman"/>
          <w:color w:val="000000"/>
          <w:lang w:eastAsia="pt-BR"/>
        </w:rPr>
        <w:t>,</w:t>
      </w:r>
      <w:r>
        <w:rPr>
          <w:rFonts w:eastAsia="Times New Roman" w:cs="Times New Roman" w:ascii="Times New Roman" w:hAnsi="Times New Roman"/>
          <w:b/>
          <w:bCs/>
          <w:lang w:eastAsia="pt-BR"/>
        </w:rPr>
        <w:t xml:space="preserve"> </w:t>
      </w:r>
      <w:r>
        <w:rPr>
          <w:rFonts w:eastAsia="Times New Roman" w:cs="Times New Roman" w:ascii="Times New Roman" w:hAnsi="Times New Roman"/>
          <w:lang w:eastAsia="pt-BR"/>
        </w:rPr>
        <w:t>conforme exigência do subitem 9.1</w:t>
      </w:r>
      <w:r>
        <w:rPr>
          <w:rFonts w:cs="Times New Roman" w:ascii="Times New Roman" w:hAnsi="Times New Roman"/>
          <w:lang w:bidi="ar-SA"/>
        </w:rPr>
        <w:t>. do EDITAL.</w:t>
      </w:r>
    </w:p>
    <w:p>
      <w:pPr>
        <w:pStyle w:val="Standard"/>
        <w:jc w:val="both"/>
        <w:rPr>
          <w:rFonts w:ascii="Times New Roman" w:hAnsi="Times New Roman" w:cs="Times New Roman"/>
        </w:rPr>
      </w:pPr>
      <w:r>
        <w:rPr>
          <w:rFonts w:cs="Times New Roman" w:ascii="Times New Roman" w:hAnsi="Times New Roman"/>
        </w:rPr>
      </w:r>
    </w:p>
    <w:p>
      <w:pPr>
        <w:pStyle w:val="Standard"/>
        <w:ind w:left="1134"/>
        <w:jc w:val="both"/>
        <w:rPr/>
      </w:pPr>
      <w:r>
        <w:rPr>
          <w:rFonts w:cs="Times New Roman" w:ascii="Times New Roman" w:hAnsi="Times New Roman"/>
          <w:b/>
          <w:bCs/>
        </w:rPr>
        <w:t>a.1)</w:t>
      </w:r>
      <w:r>
        <w:rPr>
          <w:rFonts w:cs="Times New Roman" w:ascii="Times New Roman" w:hAnsi="Times New Roman"/>
          <w:b/>
        </w:rPr>
        <w:t xml:space="preserve"> </w:t>
      </w:r>
      <w:r>
        <w:rPr>
          <w:rFonts w:cs="Times New Roman" w:ascii="Times New Roman" w:hAnsi="Times New Roman"/>
        </w:rPr>
        <w:t xml:space="preserve">A </w:t>
      </w:r>
      <w:r>
        <w:rPr>
          <w:rStyle w:val="Emphasis"/>
          <w:rFonts w:eastAsia="Times New Roman" w:cs="Times New Roman" w:ascii="Times New Roman" w:hAnsi="Times New Roman"/>
          <w:i w:val="false"/>
          <w:iCs w:val="false"/>
          <w:lang w:bidi="ar-SA"/>
        </w:rPr>
        <w:t>participante</w:t>
      </w:r>
      <w:r>
        <w:rPr>
          <w:rFonts w:cs="Times New Roman" w:ascii="Times New Roman" w:hAnsi="Times New Roman"/>
        </w:rPr>
        <w:t xml:space="preserve"> deverá solicitar </w:t>
      </w:r>
      <w:r>
        <w:rPr>
          <w:rFonts w:cs="Times New Roman" w:ascii="Times New Roman" w:hAnsi="Times New Roman"/>
          <w:lang w:bidi="ar-SA"/>
        </w:rPr>
        <w:t xml:space="preserve">diretamente no Setor Financeiro da Secretaria Municipal do Meio Ambiente e Sustentabilidade, a emissão de um DARM (Documento de Arrecadação de Receita Municipal - Código 46), que possibilitará o pagamento. No DARM deverá constar, além dos dados da </w:t>
      </w:r>
      <w:r>
        <w:rPr>
          <w:rStyle w:val="Emphasis"/>
          <w:rFonts w:eastAsia="Times New Roman" w:cs="Times New Roman" w:ascii="Times New Roman" w:hAnsi="Times New Roman"/>
          <w:i w:val="false"/>
          <w:iCs w:val="false"/>
          <w:lang w:eastAsia="pt-BR"/>
        </w:rPr>
        <w:t>CONCESSIONÁRIA</w:t>
      </w:r>
      <w:r>
        <w:rPr>
          <w:rFonts w:cs="Times New Roman" w:ascii="Times New Roman" w:hAnsi="Times New Roman"/>
          <w:lang w:bidi="ar-SA"/>
        </w:rPr>
        <w:t xml:space="preserve">, </w:t>
      </w:r>
      <w:r>
        <w:rPr>
          <w:rFonts w:cs="Times New Roman" w:ascii="Times New Roman" w:hAnsi="Times New Roman"/>
          <w:u w:val="single"/>
          <w:lang w:bidi="ar-SA"/>
        </w:rPr>
        <w:t>o número da licitação</w:t>
      </w:r>
      <w:r>
        <w:rPr>
          <w:rFonts w:cs="Times New Roman" w:ascii="Times New Roman" w:hAnsi="Times New Roman"/>
          <w:lang w:bidi="ar-SA"/>
        </w:rPr>
        <w:t>.</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rPr>
          <w:rFonts w:ascii="Times New Roman" w:hAnsi="Times New Roman" w:cs="Times New Roman"/>
          <w:lang w:bidi="ar-SA"/>
        </w:rPr>
      </w:pPr>
      <w:r>
        <w:rPr>
          <w:rFonts w:cs="Times New Roman" w:ascii="Times New Roman" w:hAnsi="Times New Roman"/>
          <w:lang w:bidi="ar-SA"/>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pPr>
      <w:r>
        <w:rPr>
          <w:rFonts w:eastAsia="Times New Roman" w:cs="Times New Roman" w:ascii="Times New Roman" w:hAnsi="Times New Roman"/>
          <w:b/>
          <w:bCs/>
          <w:lang w:bidi="ar-SA"/>
        </w:rPr>
        <w:t>a.2)</w:t>
      </w:r>
      <w:r>
        <w:rPr>
          <w:rFonts w:eastAsia="Times New Roman" w:cs="Times New Roman" w:ascii="Times New Roman" w:hAnsi="Times New Roman"/>
          <w:lang w:bidi="ar-SA"/>
        </w:rPr>
        <w:t xml:space="preserve"> A data de vencimento do DARM será sempre o primeiro dia útil subsequente à data da sua emissão.</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jc w:val="both"/>
        <w:textAlignment w:val="top"/>
        <w:rPr/>
      </w:pPr>
      <w:r>
        <w:rPr>
          <w:rFonts w:eastAsia="Times New Roman" w:cs="Times New Roman" w:ascii="Times New Roman" w:hAnsi="Times New Roman"/>
          <w:b/>
          <w:bCs/>
          <w:lang w:bidi="ar-SA"/>
        </w:rPr>
        <w:t>6.2.</w:t>
      </w:r>
      <w:r>
        <w:rPr>
          <w:rFonts w:eastAsia="Times New Roman" w:cs="Times New Roman" w:ascii="Times New Roman" w:hAnsi="Times New Roman"/>
          <w:lang w:bidi="ar-SA"/>
        </w:rPr>
        <w:t xml:space="preserve"> A assinatura do Termo de Contrato poderá ser por meio da Plataforma PROA - Processos Administrativos e-Gov, desde que a licitante tenha um Certificado emitido por uma Autoridade Certificadora (AC), credenciada na Infraestrutura de Chaves Públicas Brasileira (ICP - Brasil), na forma da legislação vigente.</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Heading1"/>
        <w:jc w:val="left"/>
        <w:rPr>
          <w:rFonts w:ascii="Times New Roman" w:hAnsi="Times New Roman" w:cs="Times New Roman"/>
          <w:sz w:val="24"/>
          <w:lang w:eastAsia="en-US" w:bidi="ar-SA"/>
        </w:rPr>
      </w:pPr>
      <w:r>
        <w:rPr>
          <w:rFonts w:cs="Times New Roman" w:ascii="Times New Roman" w:hAnsi="Times New Roman"/>
          <w:sz w:val="24"/>
          <w:lang w:eastAsia="en-US" w:bidi="ar-SA"/>
        </w:rPr>
        <w:t>7. CRITÉRIOS E DOCUMENTAÇÃO NECESSÁRIA PARA O TERMO DEFINITIVO DE ACEITAÇÃO DO OBJETO DA CONCESSÃO</w:t>
      </w:r>
    </w:p>
    <w:p>
      <w:pPr>
        <w:pStyle w:val="Standard"/>
        <w:rPr>
          <w:rFonts w:ascii="Times New Roman" w:hAnsi="Times New Roman" w:cs="Times New Roman"/>
          <w:lang w:eastAsia="en-US" w:bidi="ar-SA"/>
        </w:rPr>
      </w:pPr>
      <w:r>
        <w:rPr>
          <w:rFonts w:cs="Times New Roman" w:ascii="Times New Roman" w:hAnsi="Times New Roman"/>
          <w:lang w:eastAsia="en-US" w:bidi="ar-SA"/>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t>7.1 O TERMO DEFINITIVO DE ACEITAÇÃO do OBJETO da CONCESSÃO, expedida e publicada no DOE pelo Município, fica condicionada ao cumprimento das seguintes condições:</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a) Cópia do Alvará de Localização e Funcionamento, de sua sede ou filial que realizará os serviços funerários, localizada no Município de Caxias do Sul, em plena validade, bem como do APPCI.</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b) Cópia do Cadastro de suas atividades em conformidade com a Classificação Nacional de Atividades Econômicas – CNAE ou outra que vier a substituí-la ou complementá-la.</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c) Relação contendo:</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c.1) identificação da equipe de trabalho, discriminando funções exercidas;</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c.2) identificação de técnicos, discriminando funções exercidas;</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c.3) indicação de representante da empresa, perante o Município;</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c.4) indicação de todos os meios de comunicação disponibilizados para contato, bem como para o atendimento de plantão e emergências.</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d) Cópia do Certificado de Segurança Veicular (emitido por organismo de inspeção acreditado ao Inmetro/Denatran), dos veículos funerários.</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e) Cópia do Certificado de conclusão do Curso de Tanatopraxia de, pelo menos, 1 (um) profissional habilitado, para realizar tecnicamente os serviços de tanatopraxia, com a comprovação do vínculo com a participante através de:</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e.1) cópia autenticada da Ficha de Registro de Empregados; ou</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e.2) cópia da(s) carteira(s) de trabalho (CTPS) do(s) funcionário(s), comprovando que pertence(m) ao quadro permanente da participante; ou</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e.3) cópia do contrato social, ato constitutivo ou estatuto, no caso de sócio ou diretor. E neste caso, comprovação do curso de Tanatopraxia pelo referido sócio ou diretor; ou</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t>e.4) cópia autenticada do contrato de prestação de serviço de tanatopraxia, entre a participante e o empregado e/ou empresa especializada na realização de preparação de corpos, bem como o respectivo contrato social da empresa subcontratada.</w:t>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rFonts w:ascii="Times New Roman" w:hAnsi="Times New Roman" w:cs="Times New Roman"/>
        </w:rPr>
      </w:pPr>
      <w:r>
        <w:rPr>
          <w:rFonts w:cs="Times New Roman" w:ascii="Times New Roman" w:hAnsi="Times New Roman"/>
        </w:rPr>
      </w:r>
    </w:p>
    <w:p>
      <w:pPr>
        <w:pStyle w:val="Standard"/>
        <w:widowControl/>
        <w:tabs>
          <w:tab w:val="clear" w:pos="720"/>
          <w:tab w:val="left" w:pos="1422" w:leader="none"/>
          <w:tab w:val="left" w:pos="2142" w:leader="none"/>
          <w:tab w:val="left" w:pos="2862" w:leader="none"/>
          <w:tab w:val="left" w:pos="3582" w:leader="none"/>
          <w:tab w:val="left" w:pos="4302" w:leader="none"/>
          <w:tab w:val="left" w:pos="5022" w:leader="none"/>
          <w:tab w:val="left" w:pos="5742" w:leader="none"/>
          <w:tab w:val="left" w:pos="6462" w:leader="none"/>
          <w:tab w:val="left" w:pos="7182" w:leader="none"/>
          <w:tab w:val="left" w:pos="7902" w:leader="none"/>
        </w:tabs>
        <w:ind w:left="1134"/>
        <w:jc w:val="both"/>
        <w:textAlignment w:val="top"/>
        <w:rPr/>
      </w:pPr>
      <w:r>
        <w:rPr>
          <w:rFonts w:cs="Times New Roman" w:ascii="Times New Roman" w:hAnsi="Times New Roman"/>
        </w:rPr>
        <w:t xml:space="preserve">f) </w:t>
      </w:r>
      <w:r>
        <w:rPr>
          <w:rFonts w:eastAsia="Times New Roman" w:cs="Times New Roman" w:ascii="Times New Roman" w:hAnsi="Times New Roman"/>
          <w:color w:val="000000"/>
        </w:rPr>
        <w:t>A comprovação da contratação dos seguros previstos na Cláusula 15 do Contrato.</w:t>
      </w:r>
    </w:p>
    <w:p>
      <w:pPr>
        <w:pStyle w:val="Standard"/>
        <w:tabs>
          <w:tab w:val="clear" w:pos="720"/>
          <w:tab w:val="left" w:pos="1858" w:leader="none"/>
          <w:tab w:val="left" w:pos="2578" w:leader="none"/>
          <w:tab w:val="left" w:pos="3298" w:leader="none"/>
          <w:tab w:val="left" w:pos="4018" w:leader="none"/>
          <w:tab w:val="left" w:pos="4738" w:leader="none"/>
          <w:tab w:val="left" w:pos="5458" w:leader="none"/>
          <w:tab w:val="left" w:pos="6178" w:leader="none"/>
          <w:tab w:val="left" w:pos="6898" w:leader="none"/>
          <w:tab w:val="left" w:pos="7618" w:leader="none"/>
        </w:tabs>
        <w:ind w:left="850"/>
        <w:jc w:val="both"/>
        <w:textAlignment w:val="top"/>
        <w:rPr>
          <w:rFonts w:ascii="Times New Roman" w:hAnsi="Times New Roman" w:cs="Times New Roman"/>
        </w:rPr>
      </w:pPr>
      <w:r>
        <w:rPr>
          <w:rFonts w:cs="Times New Roman" w:ascii="Times New Roman" w:hAnsi="Times New Roman"/>
        </w:rPr>
      </w:r>
    </w:p>
    <w:p>
      <w:pPr>
        <w:pStyle w:val="Standard"/>
        <w:numPr>
          <w:ilvl w:val="0"/>
          <w:numId w:val="207"/>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pPr>
      <w:r>
        <w:rPr>
          <w:rFonts w:cs="Times New Roman" w:ascii="Times New Roman" w:hAnsi="Times New Roman"/>
          <w:b/>
          <w:bCs/>
        </w:rPr>
        <w:t xml:space="preserve">7.2. </w:t>
      </w:r>
      <w:r>
        <w:rPr>
          <w:rFonts w:cs="Times New Roman" w:ascii="Times New Roman" w:hAnsi="Times New Roman"/>
        </w:rPr>
        <w:t xml:space="preserve">O(s) referido(s) prazo(s) poderá(ão) ser prorrogado(s) a critério do </w:t>
      </w:r>
      <w:r>
        <w:rPr>
          <w:rFonts w:cs="Times New Roman" w:ascii="Times New Roman" w:hAnsi="Times New Roman"/>
          <w:bCs/>
          <w:lang w:eastAsia="en-US"/>
        </w:rPr>
        <w:t>Município</w:t>
      </w:r>
      <w:r>
        <w:rPr>
          <w:rFonts w:cs="Times New Roman" w:ascii="Times New Roman" w:hAnsi="Times New Roman"/>
        </w:rPr>
        <w:t xml:space="preserve">, mediante apresentação de justificativa pela(s) </w:t>
      </w:r>
      <w:r>
        <w:rPr>
          <w:rFonts w:eastAsia="Times New Roman" w:cs="Times New Roman" w:ascii="Times New Roman" w:hAnsi="Times New Roman"/>
          <w:lang w:bidi="ar-SA"/>
        </w:rPr>
        <w:t>participante(s).</w:t>
      </w:r>
    </w:p>
    <w:p>
      <w:pPr>
        <w:pStyle w:val="Standard"/>
        <w:numPr>
          <w:ilvl w:val="0"/>
          <w:numId w:val="208"/>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Times New Roman" w:cs="Times New Roman"/>
          <w:b/>
          <w:bCs/>
          <w:lang w:eastAsia="en-US"/>
        </w:rPr>
      </w:pPr>
      <w:r>
        <w:rPr>
          <w:rFonts w:eastAsia="Times New Roman" w:cs="Times New Roman" w:ascii="Times New Roman" w:hAnsi="Times New Roman"/>
          <w:b/>
          <w:bCs/>
          <w:lang w:eastAsia="en-US"/>
        </w:rPr>
      </w:r>
    </w:p>
    <w:p>
      <w:pPr>
        <w:pStyle w:val="Standard"/>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Arial, sans-serif" w:cs="Times New Roman"/>
          <w:b/>
          <w:bCs/>
          <w:color w:val="FF0000"/>
          <w:shd w:fill="FFFFFF" w:val="clear"/>
          <w:lang w:bidi="ar-SA"/>
        </w:rPr>
      </w:pPr>
      <w:r>
        <w:rPr>
          <w:rFonts w:eastAsia="Arial, sans-serif" w:cs="Times New Roman" w:ascii="Times New Roman" w:hAnsi="Times New Roman"/>
          <w:b/>
          <w:bCs/>
          <w:color w:val="FF0000"/>
          <w:shd w:fill="FFFFFF" w:val="clear"/>
          <w:lang w:bidi="ar-SA"/>
        </w:rPr>
      </w:r>
    </w:p>
    <w:p>
      <w:pPr>
        <w:pStyle w:val="Standard"/>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Arial, sans-serif" w:cs="Times New Roman"/>
          <w:b/>
          <w:bCs/>
          <w:color w:val="FF0000"/>
          <w:shd w:fill="FFFFFF" w:val="clear"/>
          <w:lang w:bidi="ar-SA"/>
        </w:rPr>
      </w:pPr>
      <w:r>
        <w:rPr>
          <w:rFonts w:eastAsia="Arial, sans-serif" w:cs="Times New Roman" w:ascii="Times New Roman" w:hAnsi="Times New Roman"/>
          <w:b/>
          <w:bCs/>
          <w:color w:val="FF0000"/>
          <w:shd w:fill="FFFFFF" w:val="clear"/>
          <w:lang w:bidi="ar-SA"/>
        </w:rPr>
      </w:r>
    </w:p>
    <w:p>
      <w:pPr>
        <w:pStyle w:val="Standard"/>
        <w:widowControl/>
        <w:numPr>
          <w:ilvl w:val="0"/>
          <w:numId w:val="209"/>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10"/>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11"/>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12"/>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13"/>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14"/>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r>
        <w:rPr/>
      </w:r>
    </w:p>
    <w:p>
      <w:pPr>
        <w:pStyle w:val="Standard"/>
        <w:widowControl/>
        <w:numPr>
          <w:ilvl w:val="0"/>
          <w:numId w:val="215"/>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r>
        <w:rPr/>
      </w:r>
    </w:p>
    <w:p>
      <w:pPr>
        <w:pStyle w:val="Standard"/>
        <w:widowControl/>
        <w:numPr>
          <w:ilvl w:val="0"/>
          <w:numId w:val="216"/>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r>
        <w:rPr/>
      </w:r>
    </w:p>
    <w:p>
      <w:pPr>
        <w:pStyle w:val="Standard"/>
        <w:widowControl/>
        <w:numPr>
          <w:ilvl w:val="0"/>
          <w:numId w:val="217"/>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r>
        <w:rPr>
          <w:rFonts w:eastAsia="Arial, sans-serif" w:cs="Times New Roman" w:ascii="Times New Roman" w:hAnsi="Times New Roman"/>
          <w:b/>
          <w:bCs/>
          <w:shd w:fill="FFFFFF" w:val="clear"/>
          <w:lang w:bidi="ar-SA"/>
        </w:rPr>
        <w:t xml:space="preserve">ANEXO II </w:t>
      </w:r>
    </w:p>
    <w:p>
      <w:pPr>
        <w:pStyle w:val="Heading5"/>
        <w:numPr>
          <w:ilvl w:val="0"/>
          <w:numId w:val="218"/>
        </w:numPr>
        <w:jc w:val="center"/>
        <w:rPr>
          <w:rFonts w:ascii="Times New Roman" w:hAnsi="Times New Roman" w:cs="Times New Roman"/>
          <w:b/>
          <w:szCs w:val="24"/>
          <w:lang w:val="pt-BR"/>
        </w:rPr>
      </w:pPr>
      <w:r>
        <w:rPr>
          <w:rFonts w:cs="Times New Roman" w:ascii="Times New Roman" w:hAnsi="Times New Roman"/>
          <w:b/>
          <w:szCs w:val="24"/>
          <w:lang w:val="pt-BR"/>
        </w:rPr>
      </w:r>
    </w:p>
    <w:p>
      <w:pPr>
        <w:pStyle w:val="Standard"/>
        <w:numPr>
          <w:ilvl w:val="0"/>
          <w:numId w:val="219"/>
        </w:numPr>
        <w:jc w:val="center"/>
        <w:rPr>
          <w:rFonts w:ascii="Times New Roman" w:hAnsi="Times New Roman" w:cs="Times New Roman"/>
          <w:b/>
        </w:rPr>
      </w:pPr>
      <w:r>
        <w:rPr>
          <w:rFonts w:cs="Times New Roman" w:ascii="Times New Roman" w:hAnsi="Times New Roman"/>
          <w:b/>
        </w:rPr>
      </w:r>
    </w:p>
    <w:p>
      <w:pPr>
        <w:pStyle w:val="Standard"/>
        <w:numPr>
          <w:ilvl w:val="0"/>
          <w:numId w:val="220"/>
        </w:numPr>
        <w:jc w:val="center"/>
        <w:rPr>
          <w:rFonts w:ascii="Times New Roman" w:hAnsi="Times New Roman" w:cs="Times New Roman"/>
          <w:b/>
        </w:rPr>
      </w:pPr>
      <w:r>
        <w:rPr>
          <w:rFonts w:cs="Times New Roman" w:ascii="Times New Roman" w:hAnsi="Times New Roman"/>
          <w:b/>
        </w:rPr>
      </w:r>
    </w:p>
    <w:p>
      <w:pPr>
        <w:pStyle w:val="Heading9"/>
        <w:widowControl/>
        <w:numPr>
          <w:ilvl w:val="0"/>
          <w:numId w:val="221"/>
        </w:numPr>
        <w:tabs>
          <w:tab w:val="clear" w:pos="288"/>
          <w:tab w:val="clear" w:pos="1008"/>
          <w:tab w:val="clear" w:pos="1728"/>
          <w:tab w:val="clear" w:pos="2448"/>
          <w:tab w:val="clear" w:pos="3168"/>
          <w:tab w:val="clear" w:pos="3888"/>
          <w:tab w:val="clear" w:pos="4608"/>
          <w:tab w:val="clear" w:pos="5328"/>
          <w:tab w:val="clear" w:pos="6048"/>
          <w:tab w:val="clear" w:pos="6768"/>
          <w:tab w:val="left" w:pos="19728" w:leader="none"/>
        </w:tabs>
        <w:rPr>
          <w:rFonts w:ascii="Times New Roman" w:hAnsi="Times New Roman" w:eastAsia="Times New Roman" w:cs="Times New Roman"/>
        </w:rPr>
      </w:pPr>
      <w:r>
        <w:rPr>
          <w:rFonts w:eastAsia="Times New Roman" w:cs="Times New Roman" w:ascii="Times New Roman" w:hAnsi="Times New Roman"/>
        </w:rPr>
        <w:t>À COMISSÃO DE AGENTES DE CONTRATAÇÃO</w:t>
      </w:r>
    </w:p>
    <w:p>
      <w:pPr>
        <w:pStyle w:val="Standard"/>
        <w:numPr>
          <w:ilvl w:val="0"/>
          <w:numId w:val="222"/>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Standard"/>
        <w:numPr>
          <w:ilvl w:val="0"/>
          <w:numId w:val="223"/>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Standard"/>
        <w:numPr>
          <w:ilvl w:val="0"/>
          <w:numId w:val="224"/>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Heading4"/>
        <w:numPr>
          <w:ilvl w:val="0"/>
          <w:numId w:val="225"/>
        </w:numPr>
        <w:tabs>
          <w:tab w:val="clear" w:pos="720"/>
          <w:tab w:val="left" w:pos="142"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rFonts w:ascii="Times New Roman" w:hAnsi="Times New Roman" w:cs="Times New Roman"/>
          <w:color w:val="auto"/>
          <w:sz w:val="24"/>
        </w:rPr>
      </w:pPr>
      <w:r>
        <w:rPr>
          <w:rFonts w:cs="Times New Roman" w:ascii="Times New Roman" w:hAnsi="Times New Roman"/>
          <w:color w:val="auto"/>
          <w:sz w:val="24"/>
        </w:rPr>
        <w:t>DECLARAÇÃO DE RESPONSABILIDADE REFERENTE AOS</w:t>
      </w:r>
    </w:p>
    <w:p>
      <w:pPr>
        <w:pStyle w:val="Heading4"/>
        <w:numPr>
          <w:ilvl w:val="0"/>
          <w:numId w:val="226"/>
        </w:numPr>
        <w:tabs>
          <w:tab w:val="clear" w:pos="720"/>
          <w:tab w:val="left" w:pos="142"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rFonts w:ascii="Times New Roman" w:hAnsi="Times New Roman" w:cs="Times New Roman"/>
          <w:color w:val="auto"/>
          <w:sz w:val="24"/>
        </w:rPr>
      </w:pPr>
      <w:r>
        <w:rPr>
          <w:rFonts w:cs="Times New Roman" w:ascii="Times New Roman" w:hAnsi="Times New Roman"/>
          <w:color w:val="auto"/>
          <w:sz w:val="24"/>
        </w:rPr>
        <w:t>SERVIÇOS SUBCONTRATADOS</w:t>
      </w:r>
    </w:p>
    <w:p>
      <w:pPr>
        <w:pStyle w:val="Standard"/>
        <w:numPr>
          <w:ilvl w:val="0"/>
          <w:numId w:val="227"/>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Standard"/>
        <w:numPr>
          <w:ilvl w:val="0"/>
          <w:numId w:val="228"/>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Standard"/>
        <w:numPr>
          <w:ilvl w:val="0"/>
          <w:numId w:val="229"/>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rPr>
      </w:pPr>
      <w:r>
        <w:rPr>
          <w:rFonts w:cs="Times New Roman" w:ascii="Times New Roman" w:hAnsi="Times New Roman"/>
        </w:rPr>
      </w:r>
    </w:p>
    <w:p>
      <w:pPr>
        <w:pStyle w:val="Standard"/>
        <w:numPr>
          <w:ilvl w:val="0"/>
          <w:numId w:val="230"/>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both"/>
        <w:rPr/>
      </w:pPr>
      <w:r>
        <w:rPr>
          <w:rFonts w:cs="Times New Roman" w:ascii="Times New Roman" w:hAnsi="Times New Roman"/>
        </w:rPr>
        <w:t xml:space="preserve">(Razão Social / Nome completo da concessionária)  ____________________, por meio de seu Responsável Legal, </w:t>
      </w:r>
      <w:r>
        <w:rPr>
          <w:rFonts w:cs="Times New Roman" w:ascii="Times New Roman" w:hAnsi="Times New Roman"/>
          <w:b/>
        </w:rPr>
        <w:t>declara</w:t>
      </w:r>
      <w:r>
        <w:rPr>
          <w:rFonts w:cs="Times New Roman" w:ascii="Times New Roman" w:hAnsi="Times New Roman"/>
        </w:rPr>
        <w:t>, sob as penas da lei, que se responsabilizará pela execução dos serviços subcontratados, com total cumprimento das determinações contidas no</w:t>
      </w:r>
      <w:r>
        <w:rPr>
          <w:rFonts w:cs="Times New Roman" w:ascii="Times New Roman" w:hAnsi="Times New Roman"/>
          <w:b/>
          <w:bCs/>
        </w:rPr>
        <w:t xml:space="preserve"> </w:t>
      </w:r>
      <w:r>
        <w:rPr>
          <w:rFonts w:cs="Times New Roman" w:ascii="Times New Roman" w:hAnsi="Times New Roman"/>
        </w:rPr>
        <w:t>TERMO DE REFERÊNCIA.</w:t>
      </w:r>
    </w:p>
    <w:p>
      <w:pPr>
        <w:pStyle w:val="Standard"/>
        <w:numPr>
          <w:ilvl w:val="0"/>
          <w:numId w:val="231"/>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color w:val="FF0000"/>
        </w:rPr>
      </w:pPr>
      <w:r>
        <w:rPr>
          <w:rFonts w:cs="Times New Roman" w:ascii="Times New Roman" w:hAnsi="Times New Roman"/>
          <w:color w:val="FF0000"/>
        </w:rPr>
      </w:r>
    </w:p>
    <w:p>
      <w:pPr>
        <w:pStyle w:val="Standard"/>
        <w:numPr>
          <w:ilvl w:val="0"/>
          <w:numId w:val="232"/>
        </w:numPr>
        <w:ind w:left="283"/>
        <w:jc w:val="both"/>
        <w:rPr>
          <w:rFonts w:ascii="Times New Roman" w:hAnsi="Times New Roman" w:cs="Times New Roman"/>
        </w:rPr>
      </w:pPr>
      <w:r>
        <w:rPr>
          <w:rFonts w:cs="Times New Roman" w:ascii="Times New Roman" w:hAnsi="Times New Roman"/>
        </w:rPr>
        <w:t>Os serviços subcontratados serão:</w:t>
      </w:r>
    </w:p>
    <w:p>
      <w:pPr>
        <w:pStyle w:val="Standard"/>
        <w:numPr>
          <w:ilvl w:val="0"/>
          <w:numId w:val="233"/>
        </w:numPr>
        <w:ind w:left="283"/>
        <w:jc w:val="both"/>
        <w:rPr>
          <w:rFonts w:ascii="Times New Roman" w:hAnsi="Times New Roman" w:cs="Times New Roman"/>
        </w:rPr>
      </w:pPr>
      <w:r>
        <w:rPr>
          <w:rFonts w:cs="Times New Roman" w:ascii="Times New Roman" w:hAnsi="Times New Roman"/>
        </w:rPr>
      </w:r>
    </w:p>
    <w:p>
      <w:pPr>
        <w:pStyle w:val="Default"/>
        <w:ind w:left="340"/>
        <w:jc w:val="both"/>
        <w:rPr>
          <w:color w:val="auto"/>
        </w:rPr>
      </w:pPr>
      <w:r>
        <w:rPr>
          <w:color w:val="auto"/>
        </w:rPr>
        <w:t>(    )profissionais em luto (psicólogos);</w:t>
      </w:r>
    </w:p>
    <w:p>
      <w:pPr>
        <w:pStyle w:val="Default"/>
        <w:ind w:left="340"/>
        <w:jc w:val="both"/>
        <w:rPr/>
      </w:pPr>
      <w:r>
        <w:rPr>
          <w:color w:val="auto"/>
        </w:rPr>
        <w:t>(    )serviços de preparação de corpos;</w:t>
      </w:r>
    </w:p>
    <w:p>
      <w:pPr>
        <w:pStyle w:val="Default"/>
        <w:ind w:left="340"/>
        <w:jc w:val="both"/>
        <w:rPr/>
      </w:pPr>
      <w:r>
        <w:rPr>
          <w:color w:val="auto"/>
        </w:rPr>
        <w:t>(    )tanatopraxia;</w:t>
      </w:r>
    </w:p>
    <w:p>
      <w:pPr>
        <w:pStyle w:val="Default"/>
        <w:ind w:left="340"/>
        <w:jc w:val="both"/>
        <w:rPr/>
      </w:pPr>
      <w:r>
        <w:rPr>
          <w:color w:val="auto"/>
        </w:rPr>
        <w:t>(    )embalsamamento;</w:t>
      </w:r>
    </w:p>
    <w:p>
      <w:pPr>
        <w:pStyle w:val="Default"/>
        <w:ind w:left="340"/>
        <w:jc w:val="both"/>
        <w:rPr/>
      </w:pPr>
      <w:r>
        <w:rPr>
          <w:color w:val="auto"/>
        </w:rPr>
        <w:t>(    )reconstituição facial;</w:t>
      </w:r>
    </w:p>
    <w:p>
      <w:pPr>
        <w:pStyle w:val="Default"/>
        <w:ind w:left="340"/>
        <w:jc w:val="both"/>
        <w:rPr/>
      </w:pPr>
      <w:r>
        <w:rPr>
          <w:color w:val="auto"/>
        </w:rPr>
        <w:t>(    )mumificação;</w:t>
      </w:r>
    </w:p>
    <w:p>
      <w:pPr>
        <w:pStyle w:val="Default"/>
        <w:ind w:left="340"/>
        <w:jc w:val="both"/>
        <w:rPr/>
      </w:pPr>
      <w:r>
        <w:rPr>
          <w:color w:val="auto"/>
        </w:rPr>
        <w:t>(    )outros.</w:t>
      </w:r>
    </w:p>
    <w:p>
      <w:pPr>
        <w:pStyle w:val="Default"/>
        <w:jc w:val="both"/>
        <w:rPr>
          <w:color w:val="FF4000"/>
        </w:rPr>
      </w:pPr>
      <w:r>
        <w:rPr>
          <w:color w:val="FF4000"/>
        </w:rPr>
      </w:r>
    </w:p>
    <w:p>
      <w:pPr>
        <w:pStyle w:val="Default"/>
        <w:jc w:val="both"/>
        <w:rPr>
          <w:color w:val="auto"/>
          <w:shd w:fill="FF0000" w:val="clear"/>
        </w:rPr>
      </w:pPr>
      <w:r>
        <w:rPr>
          <w:color w:val="FFFFFF"/>
          <w:shd w:fill="FF0000" w:val="clear"/>
        </w:rPr>
      </w:r>
    </w:p>
    <w:p>
      <w:pPr>
        <w:pStyle w:val="Standard"/>
        <w:numPr>
          <w:ilvl w:val="0"/>
          <w:numId w:val="234"/>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rPr>
      </w:pPr>
      <w:r>
        <w:rPr>
          <w:rFonts w:cs="Times New Roman" w:ascii="Times New Roman" w:hAnsi="Times New Roman"/>
        </w:rPr>
        <w:t>Por ser expressão da verdade, firmamos a presente.</w:t>
      </w:r>
    </w:p>
    <w:p>
      <w:pPr>
        <w:pStyle w:val="Standard"/>
        <w:numPr>
          <w:ilvl w:val="0"/>
          <w:numId w:val="235"/>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shd w:fill="FFFF99" w:val="clear"/>
        </w:rPr>
      </w:pPr>
      <w:r>
        <w:rPr>
          <w:rFonts w:cs="Times New Roman" w:ascii="Times New Roman" w:hAnsi="Times New Roman"/>
          <w:shd w:fill="FFFF99" w:val="clear"/>
        </w:rPr>
      </w:r>
    </w:p>
    <w:p>
      <w:pPr>
        <w:pStyle w:val="Standard"/>
        <w:numPr>
          <w:ilvl w:val="0"/>
          <w:numId w:val="236"/>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shd w:fill="FFFF99" w:val="clear"/>
        </w:rPr>
      </w:pPr>
      <w:r>
        <w:rPr>
          <w:rFonts w:cs="Times New Roman" w:ascii="Times New Roman" w:hAnsi="Times New Roman"/>
          <w:shd w:fill="FFFF99" w:val="clear"/>
        </w:rPr>
      </w:r>
    </w:p>
    <w:p>
      <w:pPr>
        <w:pStyle w:val="Standard"/>
        <w:numPr>
          <w:ilvl w:val="0"/>
          <w:numId w:val="237"/>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shd w:fill="FFFF99" w:val="clear"/>
        </w:rPr>
      </w:pPr>
      <w:r>
        <w:rPr>
          <w:rFonts w:cs="Times New Roman" w:ascii="Times New Roman" w:hAnsi="Times New Roman"/>
          <w:shd w:fill="FFFF99" w:val="clear"/>
        </w:rPr>
      </w:r>
    </w:p>
    <w:p>
      <w:pPr>
        <w:pStyle w:val="Standard"/>
        <w:numPr>
          <w:ilvl w:val="0"/>
          <w:numId w:val="238"/>
        </w:numPr>
        <w:tabs>
          <w:tab w:val="clear" w:pos="720"/>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center"/>
        <w:rPr>
          <w:rFonts w:ascii="Times New Roman" w:hAnsi="Times New Roman" w:cs="Times New Roman"/>
        </w:rPr>
      </w:pPr>
      <w:r>
        <w:rPr>
          <w:rFonts w:cs="Times New Roman" w:ascii="Times New Roman" w:hAnsi="Times New Roman"/>
        </w:rPr>
        <w:t>____________________, ______ de __________________ de 2026.</w:t>
      </w:r>
    </w:p>
    <w:p>
      <w:pPr>
        <w:pStyle w:val="Standard"/>
        <w:numPr>
          <w:ilvl w:val="0"/>
          <w:numId w:val="239"/>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shd w:fill="FFFF99" w:val="clear"/>
        </w:rPr>
      </w:pPr>
      <w:r>
        <w:rPr>
          <w:rFonts w:cs="Times New Roman" w:ascii="Times New Roman" w:hAnsi="Times New Roman"/>
          <w:shd w:fill="FFFF99" w:val="clear"/>
        </w:rPr>
      </w:r>
    </w:p>
    <w:p>
      <w:pPr>
        <w:pStyle w:val="Standard"/>
        <w:numPr>
          <w:ilvl w:val="0"/>
          <w:numId w:val="240"/>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shd w:fill="FFFF99" w:val="clear"/>
        </w:rPr>
      </w:pPr>
      <w:r>
        <w:rPr>
          <w:rFonts w:cs="Times New Roman" w:ascii="Times New Roman" w:hAnsi="Times New Roman"/>
          <w:shd w:fill="FFFF99" w:val="clear"/>
        </w:rPr>
      </w:r>
    </w:p>
    <w:p>
      <w:pPr>
        <w:pStyle w:val="Standard"/>
        <w:numPr>
          <w:ilvl w:val="0"/>
          <w:numId w:val="241"/>
        </w:numPr>
        <w:jc w:val="center"/>
        <w:rPr>
          <w:rFonts w:ascii="Times New Roman" w:hAnsi="Times New Roman" w:cs="Times New Roman"/>
        </w:rPr>
      </w:pPr>
      <w:r>
        <w:rPr>
          <w:rFonts w:cs="Times New Roman" w:ascii="Times New Roman" w:hAnsi="Times New Roman"/>
        </w:rPr>
      </w:r>
    </w:p>
    <w:p>
      <w:pPr>
        <w:pStyle w:val="Standard"/>
        <w:numPr>
          <w:ilvl w:val="0"/>
          <w:numId w:val="242"/>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Times New Roman" w:cs="Times New Roman"/>
          <w:b/>
          <w:bCs/>
          <w:lang w:eastAsia="en-US" w:bidi="ar-SA"/>
        </w:rPr>
      </w:pPr>
      <w:r>
        <w:rPr>
          <w:rFonts w:eastAsia="Times New Roman" w:cs="Times New Roman" w:ascii="Times New Roman" w:hAnsi="Times New Roman"/>
          <w:b/>
          <w:bCs/>
          <w:lang w:eastAsia="en-US" w:bidi="ar-SA"/>
        </w:rPr>
      </w:r>
    </w:p>
    <w:p>
      <w:pPr>
        <w:pStyle w:val="Standard"/>
        <w:numPr>
          <w:ilvl w:val="0"/>
          <w:numId w:val="243"/>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Times New Roman" w:cs="Times New Roman"/>
          <w:b/>
          <w:bCs/>
          <w:lang w:eastAsia="en-US" w:bidi="ar-SA"/>
        </w:rPr>
      </w:pPr>
      <w:r>
        <w:rPr>
          <w:rFonts w:eastAsia="Times New Roman" w:cs="Times New Roman" w:ascii="Times New Roman" w:hAnsi="Times New Roman"/>
          <w:b/>
          <w:bCs/>
          <w:lang w:eastAsia="en-US" w:bidi="ar-SA"/>
        </w:rPr>
      </w:r>
    </w:p>
    <w:p>
      <w:pPr>
        <w:pStyle w:val="Standard"/>
        <w:numPr>
          <w:ilvl w:val="0"/>
          <w:numId w:val="244"/>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45"/>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t>_____________________________________________________________</w:t>
      </w:r>
    </w:p>
    <w:p>
      <w:pPr>
        <w:pStyle w:val="Standard"/>
        <w:numPr>
          <w:ilvl w:val="0"/>
          <w:numId w:val="246"/>
        </w:numPr>
        <w:tabs>
          <w:tab w:val="clear" w:pos="720"/>
          <w:tab w:val="left" w:pos="0" w:leader="none"/>
        </w:tabs>
        <w:jc w:val="center"/>
        <w:rPr/>
      </w:pPr>
      <w:r>
        <w:rPr>
          <w:rFonts w:cs="Times New Roman" w:ascii="Times New Roman" w:hAnsi="Times New Roman"/>
          <w:b/>
        </w:rPr>
        <w:t xml:space="preserve">Nome completo e assinatura do representante legal da </w:t>
      </w:r>
      <w:r>
        <w:rPr>
          <w:rFonts w:cs="Times New Roman" w:ascii="Times New Roman" w:hAnsi="Times New Roman"/>
          <w:b/>
          <w:bCs/>
        </w:rPr>
        <w:t>participante</w:t>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lang w:bidi="ar-SA"/>
        </w:rPr>
      </w:pPr>
      <w:r>
        <w:rPr>
          <w:rFonts w:eastAsia="Arial, sans-serif" w:cs="Times New Roman" w:ascii="Times New Roman" w:hAnsi="Times New Roman"/>
          <w:b/>
          <w:bCs/>
          <w:lang w:bidi="ar-SA"/>
        </w:rPr>
      </w:r>
    </w:p>
    <w:p>
      <w:pPr>
        <w:pStyle w:val="Standard"/>
        <w:widowControl/>
        <w:numPr>
          <w:ilvl w:val="0"/>
          <w:numId w:val="247"/>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r>
        <w:rPr>
          <w:rFonts w:eastAsia="Arial, sans-serif" w:cs="Times New Roman" w:ascii="Times New Roman" w:hAnsi="Times New Roman"/>
          <w:b/>
          <w:bCs/>
          <w:lang w:bidi="ar-SA"/>
        </w:rPr>
        <w:t>ANEXO III</w:t>
      </w:r>
    </w:p>
    <w:p>
      <w:pPr>
        <w:pStyle w:val="Heading5"/>
        <w:numPr>
          <w:ilvl w:val="0"/>
          <w:numId w:val="248"/>
        </w:numPr>
        <w:jc w:val="center"/>
        <w:rPr>
          <w:rFonts w:ascii="Times New Roman" w:hAnsi="Times New Roman" w:cs="Times New Roman"/>
          <w:b/>
          <w:szCs w:val="24"/>
          <w:lang w:val="pt-BR"/>
        </w:rPr>
      </w:pPr>
      <w:r>
        <w:rPr>
          <w:rFonts w:cs="Times New Roman" w:ascii="Times New Roman" w:hAnsi="Times New Roman"/>
          <w:b/>
          <w:szCs w:val="24"/>
          <w:lang w:val="pt-BR"/>
        </w:rPr>
      </w:r>
    </w:p>
    <w:p>
      <w:pPr>
        <w:pStyle w:val="Standard"/>
        <w:numPr>
          <w:ilvl w:val="0"/>
          <w:numId w:val="249"/>
        </w:numPr>
        <w:jc w:val="center"/>
        <w:rPr>
          <w:rFonts w:ascii="Times New Roman" w:hAnsi="Times New Roman" w:cs="Times New Roman"/>
          <w:b/>
        </w:rPr>
      </w:pPr>
      <w:r>
        <w:rPr>
          <w:rFonts w:cs="Times New Roman" w:ascii="Times New Roman" w:hAnsi="Times New Roman"/>
          <w:b/>
        </w:rPr>
      </w:r>
    </w:p>
    <w:p>
      <w:pPr>
        <w:pStyle w:val="Standard"/>
        <w:numPr>
          <w:ilvl w:val="0"/>
          <w:numId w:val="250"/>
        </w:numPr>
        <w:jc w:val="center"/>
        <w:rPr>
          <w:rFonts w:ascii="Times New Roman" w:hAnsi="Times New Roman" w:cs="Times New Roman"/>
          <w:b/>
        </w:rPr>
      </w:pPr>
      <w:r>
        <w:rPr>
          <w:rFonts w:cs="Times New Roman" w:ascii="Times New Roman" w:hAnsi="Times New Roman"/>
          <w:b/>
        </w:rPr>
      </w:r>
    </w:p>
    <w:p>
      <w:pPr>
        <w:pStyle w:val="Heading9"/>
        <w:widowControl/>
        <w:numPr>
          <w:ilvl w:val="0"/>
          <w:numId w:val="251"/>
        </w:numPr>
        <w:tabs>
          <w:tab w:val="clear" w:pos="288"/>
          <w:tab w:val="clear" w:pos="1008"/>
          <w:tab w:val="clear" w:pos="1728"/>
          <w:tab w:val="clear" w:pos="2448"/>
          <w:tab w:val="clear" w:pos="3168"/>
          <w:tab w:val="clear" w:pos="3888"/>
          <w:tab w:val="clear" w:pos="4608"/>
          <w:tab w:val="clear" w:pos="5328"/>
          <w:tab w:val="clear" w:pos="6048"/>
          <w:tab w:val="clear" w:pos="6768"/>
          <w:tab w:val="left" w:pos="19728" w:leader="none"/>
        </w:tabs>
        <w:rPr>
          <w:rFonts w:ascii="Times New Roman" w:hAnsi="Times New Roman" w:eastAsia="Times New Roman" w:cs="Times New Roman"/>
        </w:rPr>
      </w:pPr>
      <w:r>
        <w:rPr>
          <w:rFonts w:eastAsia="Times New Roman" w:cs="Times New Roman" w:ascii="Times New Roman" w:hAnsi="Times New Roman"/>
        </w:rPr>
        <w:t>À COMISSÃO DE AGENTES DE CONTRATAÇÃO</w:t>
      </w:r>
    </w:p>
    <w:p>
      <w:pPr>
        <w:pStyle w:val="Textbodyindent"/>
        <w:rPr>
          <w:rFonts w:ascii="Times New Roman" w:hAnsi="Times New Roman" w:cs="Times New Roman"/>
          <w:sz w:val="24"/>
        </w:rPr>
      </w:pPr>
      <w:r>
        <w:rPr>
          <w:rFonts w:cs="Times New Roman" w:ascii="Times New Roman" w:hAnsi="Times New Roman"/>
          <w:sz w:val="24"/>
        </w:rPr>
      </w:r>
    </w:p>
    <w:p>
      <w:pPr>
        <w:pStyle w:val="Textbodyindent"/>
        <w:rPr>
          <w:rFonts w:ascii="Times New Roman" w:hAnsi="Times New Roman" w:cs="Times New Roman"/>
          <w:sz w:val="24"/>
        </w:rPr>
      </w:pPr>
      <w:r>
        <w:rPr>
          <w:rFonts w:cs="Times New Roman" w:ascii="Times New Roman" w:hAnsi="Times New Roman"/>
          <w:sz w:val="24"/>
        </w:rPr>
      </w:r>
    </w:p>
    <w:p>
      <w:pPr>
        <w:pStyle w:val="Standard"/>
        <w:numPr>
          <w:ilvl w:val="0"/>
          <w:numId w:val="252"/>
        </w:numPr>
        <w:tabs>
          <w:tab w:val="clear" w:pos="720"/>
          <w:tab w:val="left" w:pos="0" w:leader="none"/>
        </w:tabs>
        <w:jc w:val="center"/>
        <w:rPr>
          <w:rFonts w:ascii="Times New Roman" w:hAnsi="Times New Roman" w:cs="Times New Roman"/>
        </w:rPr>
      </w:pPr>
      <w:r>
        <w:rPr>
          <w:rFonts w:cs="Times New Roman" w:ascii="Times New Roman" w:hAnsi="Times New Roman"/>
        </w:rPr>
      </w:r>
    </w:p>
    <w:p>
      <w:pPr>
        <w:pStyle w:val="Textbodyindent"/>
        <w:numPr>
          <w:ilvl w:val="0"/>
          <w:numId w:val="253"/>
        </w:numPr>
        <w:jc w:val="center"/>
        <w:rPr>
          <w:rFonts w:ascii="Times New Roman" w:hAnsi="Times New Roman" w:cs="Times New Roman"/>
          <w:bCs/>
          <w:sz w:val="24"/>
        </w:rPr>
      </w:pPr>
      <w:r>
        <w:rPr>
          <w:rFonts w:cs="Times New Roman" w:ascii="Times New Roman" w:hAnsi="Times New Roman"/>
          <w:bCs/>
          <w:sz w:val="24"/>
        </w:rPr>
        <w:t>DECLARAÇÃO DE CONHECIMENTO</w:t>
      </w:r>
    </w:p>
    <w:p>
      <w:pPr>
        <w:pStyle w:val="Textbodyindent"/>
        <w:numPr>
          <w:ilvl w:val="0"/>
          <w:numId w:val="254"/>
        </w:numPr>
        <w:jc w:val="center"/>
        <w:rPr>
          <w:rFonts w:ascii="Times New Roman" w:hAnsi="Times New Roman" w:cs="Times New Roman"/>
          <w:bCs/>
          <w:sz w:val="24"/>
        </w:rPr>
      </w:pPr>
      <w:r>
        <w:rPr>
          <w:rFonts w:cs="Times New Roman" w:ascii="Times New Roman" w:hAnsi="Times New Roman"/>
          <w:bCs/>
          <w:sz w:val="24"/>
        </w:rPr>
      </w:r>
    </w:p>
    <w:p>
      <w:pPr>
        <w:pStyle w:val="Textbodyindent"/>
        <w:numPr>
          <w:ilvl w:val="0"/>
          <w:numId w:val="255"/>
        </w:numPr>
        <w:jc w:val="center"/>
        <w:rPr>
          <w:rFonts w:ascii="Times New Roman" w:hAnsi="Times New Roman" w:cs="Times New Roman"/>
          <w:sz w:val="24"/>
        </w:rPr>
      </w:pPr>
      <w:r>
        <w:rPr>
          <w:rFonts w:cs="Times New Roman" w:ascii="Times New Roman" w:hAnsi="Times New Roman"/>
          <w:sz w:val="24"/>
        </w:rPr>
      </w:r>
    </w:p>
    <w:p>
      <w:pPr>
        <w:pStyle w:val="Standard"/>
        <w:numPr>
          <w:ilvl w:val="0"/>
          <w:numId w:val="256"/>
        </w:numPr>
        <w:tabs>
          <w:tab w:val="clear" w:pos="720"/>
          <w:tab w:val="left" w:pos="0" w:leader="none"/>
        </w:tabs>
        <w:jc w:val="center"/>
        <w:rPr>
          <w:rFonts w:ascii="Times New Roman" w:hAnsi="Times New Roman" w:cs="Times New Roman"/>
        </w:rPr>
      </w:pPr>
      <w:r>
        <w:rPr>
          <w:rFonts w:cs="Times New Roman" w:ascii="Times New Roman" w:hAnsi="Times New Roman"/>
        </w:rPr>
      </w:r>
    </w:p>
    <w:p>
      <w:pPr>
        <w:pStyle w:val="Standard"/>
        <w:numPr>
          <w:ilvl w:val="0"/>
          <w:numId w:val="257"/>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both"/>
        <w:textAlignment w:val="top"/>
        <w:rPr/>
      </w:pPr>
      <w:r>
        <w:rPr>
          <w:rFonts w:cs="Times New Roman" w:ascii="Times New Roman" w:hAnsi="Times New Roman"/>
        </w:rPr>
        <w:t xml:space="preserve">(Razão Social / Nome completo da concessionária) ____________________, por meio de seu  Responsável Legal, </w:t>
      </w:r>
      <w:r>
        <w:rPr>
          <w:rFonts w:cs="Times New Roman" w:ascii="Times New Roman" w:hAnsi="Times New Roman"/>
          <w:b/>
        </w:rPr>
        <w:t>declara</w:t>
      </w:r>
      <w:r>
        <w:rPr>
          <w:rFonts w:cs="Times New Roman" w:ascii="Times New Roman" w:hAnsi="Times New Roman"/>
        </w:rPr>
        <w:t>, sob as penas da lei, que tem pleno conhecimento dos serviços a serem executados, bem como da legislação pertinente, do prazo para pagamento da outorga fixa e apresentação dos demais documentos necessários para assinatura do contrato, e se sujeita a todas as condições estabelecidas.</w:t>
      </w:r>
    </w:p>
    <w:p>
      <w:pPr>
        <w:pStyle w:val="Standard"/>
        <w:numPr>
          <w:ilvl w:val="0"/>
          <w:numId w:val="258"/>
        </w:numPr>
        <w:tabs>
          <w:tab w:val="clear" w:pos="720"/>
          <w:tab w:val="left" w:pos="0" w:leader="none"/>
        </w:tabs>
        <w:jc w:val="center"/>
        <w:rPr>
          <w:rFonts w:ascii="Times New Roman" w:hAnsi="Times New Roman" w:cs="Times New Roman"/>
        </w:rPr>
      </w:pPr>
      <w:r>
        <w:rPr>
          <w:rFonts w:cs="Times New Roman" w:ascii="Times New Roman" w:hAnsi="Times New Roman"/>
        </w:rPr>
      </w:r>
    </w:p>
    <w:p>
      <w:pPr>
        <w:pStyle w:val="Textbodyindent"/>
        <w:numPr>
          <w:ilvl w:val="0"/>
          <w:numId w:val="259"/>
        </w:numPr>
        <w:rPr>
          <w:rFonts w:ascii="Times New Roman" w:hAnsi="Times New Roman" w:cs="Times New Roman"/>
          <w:b w:val="false"/>
          <w:sz w:val="24"/>
        </w:rPr>
      </w:pPr>
      <w:r>
        <w:rPr>
          <w:rFonts w:cs="Times New Roman" w:ascii="Times New Roman" w:hAnsi="Times New Roman"/>
          <w:b w:val="false"/>
          <w:sz w:val="24"/>
        </w:rPr>
      </w:r>
    </w:p>
    <w:p>
      <w:pPr>
        <w:pStyle w:val="Textbodyindent"/>
        <w:numPr>
          <w:ilvl w:val="0"/>
          <w:numId w:val="260"/>
        </w:numPr>
        <w:rPr>
          <w:rFonts w:ascii="Times New Roman" w:hAnsi="Times New Roman" w:cs="Times New Roman"/>
          <w:b w:val="false"/>
          <w:sz w:val="24"/>
        </w:rPr>
      </w:pPr>
      <w:r>
        <w:rPr>
          <w:rFonts w:cs="Times New Roman" w:ascii="Times New Roman" w:hAnsi="Times New Roman"/>
          <w:b w:val="false"/>
          <w:sz w:val="24"/>
        </w:rPr>
      </w:r>
    </w:p>
    <w:p>
      <w:pPr>
        <w:pStyle w:val="Standard"/>
        <w:numPr>
          <w:ilvl w:val="0"/>
          <w:numId w:val="261"/>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rPr>
      </w:pPr>
      <w:r>
        <w:rPr>
          <w:rFonts w:cs="Times New Roman" w:ascii="Times New Roman" w:hAnsi="Times New Roman"/>
        </w:rPr>
        <w:t>__________________________, em ____ de ______________ de 2026.</w:t>
      </w:r>
    </w:p>
    <w:p>
      <w:pPr>
        <w:pStyle w:val="Standard"/>
        <w:numPr>
          <w:ilvl w:val="0"/>
          <w:numId w:val="262"/>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63"/>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64"/>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65"/>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66"/>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67"/>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68"/>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t>_____________________________________________________________</w:t>
      </w:r>
    </w:p>
    <w:p>
      <w:pPr>
        <w:pStyle w:val="Standard"/>
        <w:numPr>
          <w:ilvl w:val="0"/>
          <w:numId w:val="269"/>
        </w:numPr>
        <w:tabs>
          <w:tab w:val="clear" w:pos="720"/>
          <w:tab w:val="left" w:pos="0" w:leader="none"/>
        </w:tabs>
        <w:jc w:val="center"/>
        <w:rPr/>
      </w:pPr>
      <w:r>
        <w:rPr>
          <w:rFonts w:cs="Times New Roman" w:ascii="Times New Roman" w:hAnsi="Times New Roman"/>
          <w:b/>
        </w:rPr>
        <w:t xml:space="preserve">Nome completo e assinatura do representante legal </w:t>
      </w:r>
      <w:r>
        <w:rPr>
          <w:rFonts w:cs="Times New Roman" w:ascii="Times New Roman" w:hAnsi="Times New Roman"/>
          <w:b/>
          <w:bCs/>
        </w:rPr>
        <w:t>da participante</w:t>
      </w:r>
    </w:p>
    <w:p>
      <w:pPr>
        <w:pStyle w:val="Heading3"/>
        <w:numPr>
          <w:ilvl w:val="2"/>
          <w:numId w:val="270"/>
        </w:numPr>
        <w:tabs>
          <w:tab w:val="clear" w:pos="720"/>
          <w:tab w:val="left" w:pos="0" w:leader="none"/>
        </w:tabs>
        <w:spacing w:before="0" w:after="0"/>
        <w:jc w:val="center"/>
        <w:rPr>
          <w:rFonts w:ascii="Times New Roman" w:hAnsi="Times New Roman" w:cs="Times New Roman"/>
        </w:rPr>
      </w:pPr>
      <w:r>
        <w:rPr>
          <w:rFonts w:cs="Times New Roman" w:ascii="Times New Roman" w:hAnsi="Times New Roman"/>
        </w:rPr>
      </w:r>
    </w:p>
    <w:p>
      <w:pPr>
        <w:pStyle w:val="Standard"/>
        <w:numPr>
          <w:ilvl w:val="0"/>
          <w:numId w:val="271"/>
        </w:numPr>
        <w:tabs>
          <w:tab w:val="clear" w:pos="720"/>
          <w:tab w:val="left" w:pos="0" w:leader="none"/>
        </w:tabs>
        <w:spacing w:lineRule="atLeast" w:line="100"/>
        <w:jc w:val="center"/>
        <w:rPr>
          <w:rFonts w:ascii="Times New Roman" w:hAnsi="Times New Roman" w:cs="Times New Roman"/>
        </w:rPr>
      </w:pPr>
      <w:r>
        <w:rPr>
          <w:rFonts w:cs="Times New Roman" w:ascii="Times New Roman" w:hAnsi="Times New Roman"/>
        </w:rPr>
      </w:r>
    </w:p>
    <w:p>
      <w:pPr>
        <w:pStyle w:val="Heading4"/>
        <w:numPr>
          <w:ilvl w:val="0"/>
          <w:numId w:val="272"/>
        </w:numPr>
        <w:spacing w:lineRule="atLeast" w:line="100"/>
        <w:rPr>
          <w:rFonts w:ascii="Times New Roman" w:hAnsi="Times New Roman" w:cs="Times New Roman"/>
          <w:color w:val="auto"/>
          <w:sz w:val="24"/>
        </w:rPr>
      </w:pPr>
      <w:r>
        <w:rPr>
          <w:rFonts w:cs="Times New Roman" w:ascii="Times New Roman" w:hAnsi="Times New Roman"/>
          <w:color w:val="auto"/>
          <w:sz w:val="24"/>
        </w:rPr>
      </w:r>
    </w:p>
    <w:p>
      <w:pPr>
        <w:pStyle w:val="Heading4"/>
        <w:numPr>
          <w:ilvl w:val="0"/>
          <w:numId w:val="273"/>
        </w:numPr>
        <w:spacing w:lineRule="atLeast" w:line="100"/>
        <w:rPr>
          <w:rFonts w:ascii="Times New Roman" w:hAnsi="Times New Roman" w:cs="Times New Roman"/>
          <w:color w:val="auto"/>
          <w:sz w:val="24"/>
        </w:rPr>
      </w:pPr>
      <w:r>
        <w:rPr>
          <w:rFonts w:cs="Times New Roman" w:ascii="Times New Roman" w:hAnsi="Times New Roman"/>
          <w:color w:val="auto"/>
          <w:sz w:val="24"/>
        </w:rPr>
      </w:r>
    </w:p>
    <w:p>
      <w:pPr>
        <w:pStyle w:val="Heading4"/>
        <w:numPr>
          <w:ilvl w:val="0"/>
          <w:numId w:val="274"/>
        </w:numPr>
        <w:tabs>
          <w:tab w:val="clear" w:pos="720"/>
          <w:tab w:val="left" w:pos="0" w:leader="none"/>
        </w:tabs>
        <w:spacing w:lineRule="atLeast" w:line="100"/>
        <w:rPr>
          <w:rFonts w:ascii="Times New Roman" w:hAnsi="Times New Roman" w:cs="Times New Roman"/>
          <w:color w:val="auto"/>
          <w:sz w:val="24"/>
        </w:rPr>
      </w:pPr>
      <w:r>
        <w:rPr>
          <w:rFonts w:cs="Times New Roman" w:ascii="Times New Roman" w:hAnsi="Times New Roman"/>
          <w:color w:val="auto"/>
          <w:sz w:val="24"/>
        </w:rPr>
      </w:r>
    </w:p>
    <w:p>
      <w:pPr>
        <w:pStyle w:val="Heading3"/>
        <w:numPr>
          <w:ilvl w:val="2"/>
          <w:numId w:val="275"/>
        </w:numPr>
        <w:tabs>
          <w:tab w:val="clear" w:pos="720"/>
          <w:tab w:val="left" w:pos="0" w:leader="none"/>
        </w:tabs>
        <w:spacing w:before="0" w:after="0"/>
        <w:jc w:val="center"/>
        <w:rPr>
          <w:rFonts w:ascii="Times New Roman" w:hAnsi="Times New Roman" w:cs="Times New Roman"/>
        </w:rPr>
      </w:pPr>
      <w:r>
        <w:rPr>
          <w:rFonts w:cs="Times New Roman" w:ascii="Times New Roman" w:hAnsi="Times New Roman"/>
        </w:rPr>
      </w:r>
    </w:p>
    <w:p>
      <w:pPr>
        <w:pStyle w:val="Standard"/>
        <w:numPr>
          <w:ilvl w:val="0"/>
          <w:numId w:val="276"/>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Times New Roman" w:cs="Times New Roman"/>
          <w:b/>
          <w:bCs/>
          <w:lang w:eastAsia="en-US" w:bidi="ar-SA"/>
        </w:rPr>
      </w:pPr>
      <w:r>
        <w:rPr>
          <w:rFonts w:eastAsia="Times New Roman" w:cs="Times New Roman" w:ascii="Times New Roman" w:hAnsi="Times New Roman"/>
          <w:b/>
          <w:bCs/>
          <w:lang w:eastAsia="en-US" w:bidi="ar-SA"/>
        </w:rPr>
      </w:r>
    </w:p>
    <w:p>
      <w:pPr>
        <w:pStyle w:val="Standard"/>
        <w:numPr>
          <w:ilvl w:val="0"/>
          <w:numId w:val="277"/>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Times New Roman" w:cs="Times New Roman"/>
          <w:b/>
          <w:bCs/>
          <w:lang w:eastAsia="en-US" w:bidi="ar-SA"/>
        </w:rPr>
      </w:pPr>
      <w:r>
        <w:rPr>
          <w:rFonts w:eastAsia="Times New Roman" w:cs="Times New Roman" w:ascii="Times New Roman" w:hAnsi="Times New Roman"/>
          <w:b/>
          <w:bCs/>
          <w:lang w:eastAsia="en-US" w:bidi="ar-SA"/>
        </w:rPr>
      </w:r>
    </w:p>
    <w:p>
      <w:pPr>
        <w:pStyle w:val="Standard"/>
        <w:numPr>
          <w:ilvl w:val="0"/>
          <w:numId w:val="278"/>
        </w:numPr>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rPr>
          <w:rFonts w:ascii="Times New Roman" w:hAnsi="Times New Roman" w:eastAsia="Times New Roman" w:cs="Times New Roman"/>
          <w:b/>
          <w:bCs/>
          <w:lang w:eastAsia="en-US" w:bidi="ar-SA"/>
        </w:rPr>
      </w:pPr>
      <w:r>
        <w:rPr>
          <w:rFonts w:eastAsia="Times New Roman" w:cs="Times New Roman" w:ascii="Times New Roman" w:hAnsi="Times New Roman"/>
          <w:b/>
          <w:bCs/>
          <w:lang w:eastAsia="en-US" w:bidi="ar-SA"/>
        </w:rPr>
      </w:r>
    </w:p>
    <w:p>
      <w:pPr>
        <w:pStyle w:val="Standard"/>
        <w:widowControl/>
        <w:tabs>
          <w:tab w:val="clear" w:pos="720"/>
          <w:tab w:val="left" w:pos="6536" w:leader="none"/>
          <w:tab w:val="left" w:pos="7256" w:leader="none"/>
          <w:tab w:val="left" w:pos="7976" w:leader="none"/>
          <w:tab w:val="left" w:pos="8696" w:leader="none"/>
          <w:tab w:val="left" w:pos="9416" w:leader="none"/>
          <w:tab w:val="left" w:pos="10136" w:leader="none"/>
          <w:tab w:val="left" w:pos="10856" w:leader="none"/>
          <w:tab w:val="left" w:pos="11576" w:leader="none"/>
          <w:tab w:val="left" w:pos="12296" w:leader="none"/>
          <w:tab w:val="left" w:pos="13016" w:leader="none"/>
        </w:tabs>
        <w:jc w:val="both"/>
        <w:textAlignment w:val="top"/>
        <w:rPr>
          <w:rFonts w:ascii="Times New Roman" w:hAnsi="Times New Roman" w:eastAsia="Times New Roman" w:cs="Times New Roman"/>
          <w:b/>
          <w:bCs/>
          <w:lang w:eastAsia="en-US" w:bidi="ar-SA"/>
        </w:rPr>
      </w:pPr>
      <w:r>
        <w:rPr>
          <w:rFonts w:eastAsia="Times New Roman" w:cs="Times New Roman" w:ascii="Times New Roman" w:hAnsi="Times New Roman"/>
          <w:b/>
          <w:bCs/>
          <w:lang w:eastAsia="en-US" w:bidi="ar-SA"/>
        </w:rPr>
      </w:r>
      <w:r>
        <w:br w:type="page"/>
      </w:r>
    </w:p>
    <w:p>
      <w:pPr>
        <w:pStyle w:val="Standard"/>
        <w:widowControl/>
        <w:numPr>
          <w:ilvl w:val="0"/>
          <w:numId w:val="279"/>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80"/>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81"/>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rFonts w:ascii="Times New Roman" w:hAnsi="Times New Roman" w:eastAsia="Arial, sans-serif" w:cs="Times New Roman"/>
          <w:b/>
          <w:bCs/>
          <w:shd w:fill="FFFFFF" w:val="clear"/>
          <w:lang w:bidi="ar-SA"/>
        </w:rPr>
      </w:pPr>
      <w:r>
        <w:rPr>
          <w:rFonts w:eastAsia="Arial, sans-serif" w:cs="Times New Roman" w:ascii="Times New Roman" w:hAnsi="Times New Roman"/>
          <w:b/>
          <w:bCs/>
          <w:shd w:fill="FFFFFF" w:val="clear"/>
          <w:lang w:bidi="ar-SA"/>
        </w:rPr>
      </w:r>
    </w:p>
    <w:p>
      <w:pPr>
        <w:pStyle w:val="Standard"/>
        <w:widowControl/>
        <w:numPr>
          <w:ilvl w:val="0"/>
          <w:numId w:val="282"/>
        </w:numPr>
        <w:tabs>
          <w:tab w:val="clear" w:pos="720"/>
          <w:tab w:val="left" w:pos="8960" w:leader="none"/>
          <w:tab w:val="left" w:pos="9680" w:leader="none"/>
          <w:tab w:val="left" w:pos="10400" w:leader="none"/>
          <w:tab w:val="left" w:pos="11120" w:leader="none"/>
          <w:tab w:val="left" w:pos="11840" w:leader="none"/>
          <w:tab w:val="left" w:pos="12560" w:leader="none"/>
          <w:tab w:val="left" w:pos="13280" w:leader="none"/>
          <w:tab w:val="left" w:pos="14000" w:leader="none"/>
          <w:tab w:val="left" w:pos="14720" w:leader="none"/>
        </w:tabs>
        <w:jc w:val="center"/>
        <w:rPr/>
      </w:pPr>
      <w:r>
        <w:rPr>
          <w:rFonts w:eastAsia="Arial, sans-serif" w:cs="Times New Roman" w:ascii="Times New Roman" w:hAnsi="Times New Roman"/>
          <w:b/>
          <w:bCs/>
          <w:shd w:fill="FFFFFF" w:val="clear"/>
          <w:lang w:bidi="ar-SA"/>
        </w:rPr>
        <w:t>ANEXO IV</w:t>
      </w:r>
    </w:p>
    <w:p>
      <w:pPr>
        <w:pStyle w:val="Heading5"/>
        <w:numPr>
          <w:ilvl w:val="0"/>
          <w:numId w:val="283"/>
        </w:numPr>
        <w:jc w:val="center"/>
        <w:rPr>
          <w:rFonts w:ascii="Times New Roman" w:hAnsi="Times New Roman" w:cs="Times New Roman"/>
          <w:b/>
          <w:szCs w:val="24"/>
          <w:lang w:val="pt-BR"/>
        </w:rPr>
      </w:pPr>
      <w:r>
        <w:rPr>
          <w:rFonts w:cs="Times New Roman" w:ascii="Times New Roman" w:hAnsi="Times New Roman"/>
          <w:b/>
          <w:szCs w:val="24"/>
          <w:lang w:val="pt-BR"/>
        </w:rPr>
      </w:r>
    </w:p>
    <w:p>
      <w:pPr>
        <w:pStyle w:val="Standard"/>
        <w:numPr>
          <w:ilvl w:val="0"/>
          <w:numId w:val="284"/>
        </w:numPr>
        <w:jc w:val="center"/>
        <w:rPr>
          <w:rFonts w:ascii="Times New Roman" w:hAnsi="Times New Roman" w:cs="Times New Roman"/>
          <w:b/>
        </w:rPr>
      </w:pPr>
      <w:r>
        <w:rPr>
          <w:rFonts w:cs="Times New Roman" w:ascii="Times New Roman" w:hAnsi="Times New Roman"/>
          <w:b/>
        </w:rPr>
      </w:r>
    </w:p>
    <w:p>
      <w:pPr>
        <w:pStyle w:val="Standard"/>
        <w:numPr>
          <w:ilvl w:val="0"/>
          <w:numId w:val="285"/>
        </w:numPr>
        <w:jc w:val="center"/>
        <w:rPr>
          <w:rFonts w:ascii="Times New Roman" w:hAnsi="Times New Roman" w:cs="Times New Roman"/>
          <w:b/>
        </w:rPr>
      </w:pPr>
      <w:r>
        <w:rPr>
          <w:rFonts w:cs="Times New Roman" w:ascii="Times New Roman" w:hAnsi="Times New Roman"/>
          <w:b/>
        </w:rPr>
      </w:r>
    </w:p>
    <w:p>
      <w:pPr>
        <w:pStyle w:val="Heading9"/>
        <w:widowControl/>
        <w:numPr>
          <w:ilvl w:val="0"/>
          <w:numId w:val="286"/>
        </w:numPr>
        <w:tabs>
          <w:tab w:val="clear" w:pos="288"/>
          <w:tab w:val="clear" w:pos="1008"/>
          <w:tab w:val="clear" w:pos="1728"/>
          <w:tab w:val="clear" w:pos="2448"/>
          <w:tab w:val="clear" w:pos="3168"/>
          <w:tab w:val="clear" w:pos="3888"/>
          <w:tab w:val="clear" w:pos="4608"/>
          <w:tab w:val="clear" w:pos="5328"/>
          <w:tab w:val="clear" w:pos="6048"/>
          <w:tab w:val="clear" w:pos="6768"/>
          <w:tab w:val="left" w:pos="19728" w:leader="none"/>
        </w:tabs>
        <w:rPr>
          <w:rFonts w:ascii="Times New Roman" w:hAnsi="Times New Roman" w:eastAsia="Times New Roman" w:cs="Times New Roman"/>
        </w:rPr>
      </w:pPr>
      <w:r>
        <w:rPr>
          <w:rFonts w:eastAsia="Times New Roman" w:cs="Times New Roman" w:ascii="Times New Roman" w:hAnsi="Times New Roman"/>
        </w:rPr>
        <w:t>À COMISSÃO DE AGENTES DE CONTRATAÇÃO</w:t>
      </w:r>
    </w:p>
    <w:p>
      <w:pPr>
        <w:pStyle w:val="Standard"/>
        <w:numPr>
          <w:ilvl w:val="0"/>
          <w:numId w:val="287"/>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Standard"/>
        <w:numPr>
          <w:ilvl w:val="0"/>
          <w:numId w:val="288"/>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Standard"/>
        <w:numPr>
          <w:ilvl w:val="0"/>
          <w:numId w:val="289"/>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Heading4"/>
        <w:numPr>
          <w:ilvl w:val="0"/>
          <w:numId w:val="290"/>
        </w:numPr>
        <w:tabs>
          <w:tab w:val="clear" w:pos="720"/>
          <w:tab w:val="left" w:pos="142"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rFonts w:ascii="Times New Roman" w:hAnsi="Times New Roman" w:cs="Times New Roman"/>
          <w:color w:val="auto"/>
          <w:sz w:val="24"/>
        </w:rPr>
      </w:pPr>
      <w:r>
        <w:rPr>
          <w:rFonts w:cs="Times New Roman" w:ascii="Times New Roman" w:hAnsi="Times New Roman"/>
          <w:color w:val="auto"/>
          <w:sz w:val="24"/>
        </w:rPr>
        <w:t>DECLARAÇÃO OPCIONAL DE RENÚNCIA AO PRAZO RECURSAL</w:t>
      </w:r>
    </w:p>
    <w:p>
      <w:pPr>
        <w:pStyle w:val="Standard"/>
        <w:tabs>
          <w:tab w:val="clear" w:pos="720"/>
          <w:tab w:val="left" w:pos="142"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r>
    </w:p>
    <w:p>
      <w:pPr>
        <w:pStyle w:val="Heading9"/>
        <w:numPr>
          <w:ilvl w:val="8"/>
          <w:numId w:val="3"/>
        </w:numPr>
        <w:tabs>
          <w:tab w:val="clear" w:pos="288"/>
          <w:tab w:val="clear" w:pos="1008"/>
          <w:tab w:val="clear" w:pos="1728"/>
          <w:tab w:val="clear" w:pos="2448"/>
          <w:tab w:val="clear" w:pos="3168"/>
          <w:tab w:val="clear" w:pos="3888"/>
          <w:tab w:val="clear" w:pos="4608"/>
          <w:tab w:val="clear" w:pos="5328"/>
          <w:tab w:val="clear" w:pos="6048"/>
          <w:tab w:val="clear" w:pos="6768"/>
          <w:tab w:val="left" w:pos="-31680" w:leader="none"/>
        </w:tabs>
        <w:jc w:val="center"/>
        <w:rPr>
          <w:rFonts w:ascii="Times New Roman" w:hAnsi="Times New Roman" w:cs="Times New Roman"/>
        </w:rPr>
      </w:pPr>
      <w:r>
        <w:rPr>
          <w:rFonts w:cs="Times New Roman" w:ascii="Times New Roman" w:hAnsi="Times New Roman"/>
        </w:rPr>
      </w:r>
    </w:p>
    <w:p>
      <w:pPr>
        <w:pStyle w:val="Standard"/>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rPr>
      </w:pPr>
      <w:r>
        <w:rPr>
          <w:rFonts w:cs="Times New Roman" w:ascii="Times New Roman" w:hAnsi="Times New Roman"/>
        </w:rPr>
      </w:r>
    </w:p>
    <w:p>
      <w:pPr>
        <w:pStyle w:val="Standard"/>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both"/>
        <w:rPr/>
      </w:pPr>
      <w:r>
        <w:rPr>
          <w:rFonts w:cs="Times New Roman" w:ascii="Times New Roman" w:hAnsi="Times New Roman"/>
        </w:rPr>
        <w:t xml:space="preserve">(Razão Social / Nome completo da participante) ______________________________, por meio de seu Diretor ou Responsável Legal, declara, para os fins de direito, que, se considerada habilitada no presente certame licitatório, referente à </w:t>
      </w:r>
      <w:r>
        <w:rPr>
          <w:rFonts w:cs="Times New Roman" w:ascii="Times New Roman" w:hAnsi="Times New Roman"/>
          <w:b/>
          <w:bCs/>
        </w:rPr>
        <w:t xml:space="preserve">Concorrência n.º </w:t>
      </w:r>
      <w:r>
        <w:rPr>
          <w:rFonts w:cs="Times New Roman" w:ascii="Times New Roman" w:hAnsi="Times New Roman"/>
          <w:b/>
          <w:bCs/>
        </w:rPr>
        <w:t>84</w:t>
      </w:r>
      <w:r>
        <w:rPr>
          <w:rFonts w:cs="Times New Roman" w:ascii="Times New Roman" w:hAnsi="Times New Roman"/>
          <w:b/>
          <w:bCs/>
        </w:rPr>
        <w:t>-2026</w:t>
      </w:r>
      <w:r>
        <w:rPr>
          <w:rFonts w:cs="Times New Roman" w:ascii="Times New Roman" w:hAnsi="Times New Roman"/>
        </w:rPr>
        <w:t>, renuncia ao prazo recursal previsto em Lei.</w:t>
      </w:r>
    </w:p>
    <w:p>
      <w:pPr>
        <w:pStyle w:val="Standard"/>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both"/>
        <w:rPr>
          <w:rFonts w:ascii="Times New Roman" w:hAnsi="Times New Roman" w:cs="Times New Roman"/>
        </w:rPr>
      </w:pPr>
      <w:r>
        <w:rPr>
          <w:rFonts w:cs="Times New Roman" w:ascii="Times New Roman" w:hAnsi="Times New Roman"/>
        </w:rPr>
      </w:r>
    </w:p>
    <w:p>
      <w:pPr>
        <w:pStyle w:val="Standard"/>
        <w:tabs>
          <w:tab w:val="clear" w:pos="720"/>
          <w:tab w:val="left" w:pos="1008" w:leader="none"/>
          <w:tab w:val="left" w:pos="104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both"/>
        <w:rPr>
          <w:rFonts w:ascii="Times New Roman" w:hAnsi="Times New Roman" w:cs="Times New Roman"/>
        </w:rPr>
      </w:pPr>
      <w:r>
        <w:rPr>
          <w:rFonts w:cs="Times New Roman" w:ascii="Times New Roman" w:hAnsi="Times New Roman"/>
        </w:rPr>
        <w:t>Por ser expressão da verdade, firmamos a presente.</w:t>
      </w:r>
    </w:p>
    <w:p>
      <w:pPr>
        <w:pStyle w:val="Standard"/>
        <w:numPr>
          <w:ilvl w:val="0"/>
          <w:numId w:val="291"/>
        </w:numPr>
        <w:tabs>
          <w:tab w:val="clear" w:pos="720"/>
          <w:tab w:val="left" w:pos="0" w:leader="none"/>
        </w:tabs>
        <w:jc w:val="center"/>
        <w:rPr>
          <w:rFonts w:ascii="Times New Roman" w:hAnsi="Times New Roman" w:cs="Times New Roman"/>
        </w:rPr>
      </w:pPr>
      <w:r>
        <w:rPr>
          <w:rFonts w:cs="Times New Roman" w:ascii="Times New Roman" w:hAnsi="Times New Roman"/>
        </w:rPr>
      </w:r>
    </w:p>
    <w:p>
      <w:pPr>
        <w:pStyle w:val="Textbodyindent"/>
        <w:numPr>
          <w:ilvl w:val="0"/>
          <w:numId w:val="292"/>
        </w:numPr>
        <w:rPr>
          <w:rFonts w:ascii="Times New Roman" w:hAnsi="Times New Roman" w:cs="Times New Roman"/>
          <w:b w:val="false"/>
          <w:sz w:val="24"/>
        </w:rPr>
      </w:pPr>
      <w:r>
        <w:rPr>
          <w:rFonts w:cs="Times New Roman" w:ascii="Times New Roman" w:hAnsi="Times New Roman"/>
          <w:b w:val="false"/>
          <w:sz w:val="24"/>
        </w:rPr>
      </w:r>
    </w:p>
    <w:p>
      <w:pPr>
        <w:pStyle w:val="Textbodyindent"/>
        <w:numPr>
          <w:ilvl w:val="0"/>
          <w:numId w:val="293"/>
        </w:numPr>
        <w:rPr>
          <w:rFonts w:ascii="Times New Roman" w:hAnsi="Times New Roman" w:cs="Times New Roman"/>
          <w:b w:val="false"/>
          <w:sz w:val="24"/>
        </w:rPr>
      </w:pPr>
      <w:r>
        <w:rPr>
          <w:rFonts w:cs="Times New Roman" w:ascii="Times New Roman" w:hAnsi="Times New Roman"/>
          <w:b w:val="false"/>
          <w:sz w:val="24"/>
        </w:rPr>
      </w:r>
    </w:p>
    <w:p>
      <w:pPr>
        <w:pStyle w:val="Standard"/>
        <w:numPr>
          <w:ilvl w:val="0"/>
          <w:numId w:val="294"/>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rPr>
      </w:pPr>
      <w:r>
        <w:rPr>
          <w:rFonts w:cs="Times New Roman" w:ascii="Times New Roman" w:hAnsi="Times New Roman"/>
        </w:rPr>
        <w:t>__________________________, em ____ de ______________ de 2026.</w:t>
      </w:r>
    </w:p>
    <w:p>
      <w:pPr>
        <w:pStyle w:val="Standard"/>
        <w:numPr>
          <w:ilvl w:val="0"/>
          <w:numId w:val="295"/>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96"/>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97"/>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98"/>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299"/>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300"/>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numPr>
          <w:ilvl w:val="0"/>
          <w:numId w:val="301"/>
        </w:num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cs="Times New Roman"/>
          <w:b/>
        </w:rPr>
      </w:pPr>
      <w:r>
        <w:rPr>
          <w:rFonts w:cs="Times New Roman" w:ascii="Times New Roman" w:hAnsi="Times New Roman"/>
          <w:b/>
        </w:rPr>
        <w:t>_____________________________________________________________</w:t>
      </w:r>
    </w:p>
    <w:p>
      <w:pPr>
        <w:pStyle w:val="Standard"/>
        <w:numPr>
          <w:ilvl w:val="0"/>
          <w:numId w:val="302"/>
        </w:numPr>
        <w:tabs>
          <w:tab w:val="clear" w:pos="720"/>
          <w:tab w:val="left" w:pos="0" w:leader="none"/>
        </w:tabs>
        <w:jc w:val="center"/>
        <w:rPr/>
      </w:pPr>
      <w:r>
        <w:rPr>
          <w:rFonts w:cs="Times New Roman" w:ascii="Times New Roman" w:hAnsi="Times New Roman"/>
          <w:b/>
        </w:rPr>
        <w:t xml:space="preserve">Nome completo e assinatura do representante legal </w:t>
      </w:r>
      <w:r>
        <w:rPr>
          <w:rFonts w:cs="Times New Roman" w:ascii="Times New Roman" w:hAnsi="Times New Roman"/>
          <w:b/>
          <w:bCs/>
        </w:rPr>
        <w:t>da participante</w:t>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Standard"/>
        <w:tabs>
          <w:tab w:val="clear" w:pos="720"/>
          <w:tab w:val="left" w:pos="0" w:leader="none"/>
        </w:tabs>
        <w:jc w:val="center"/>
        <w:rPr>
          <w:rFonts w:ascii="Times New Roman" w:hAnsi="Times New Roman" w:cs="Times New Roman"/>
          <w:b/>
        </w:rPr>
      </w:pPr>
      <w:r>
        <w:rPr>
          <w:rFonts w:cs="Times New Roman" w:ascii="Times New Roman" w:hAnsi="Times New Roman"/>
          <w:b/>
        </w:rPr>
      </w:r>
    </w:p>
    <w:p>
      <w:pPr>
        <w:pStyle w:val="Normal"/>
        <w:pBdr/>
        <w:spacing w:lineRule="auto" w:line="276"/>
        <w:jc w:val="center"/>
        <w:textAlignment w:val="auto"/>
        <w:rPr>
          <w:rFonts w:ascii="Times New Roman" w:hAnsi="Times New Roman" w:eastAsia="Times New Roman" w:cs="Times New Roman"/>
          <w:b/>
          <w:color w:val="000000"/>
          <w:kern w:val="0"/>
          <w:lang w:eastAsia="pt-BR" w:bidi="ar-SA"/>
        </w:rPr>
      </w:pPr>
      <w:bookmarkStart w:id="7" w:name="_heading=h.3whwml4"/>
      <w:bookmarkStart w:id="8" w:name="_heading=h.gjdgxs"/>
      <w:bookmarkEnd w:id="7"/>
      <w:bookmarkEnd w:id="8"/>
      <w:r>
        <mc:AlternateContent>
          <mc:Choice Requires="wps">
            <w:drawing>
              <wp:anchor behindDoc="0" distT="0" distB="3175" distL="0" distR="3175" simplePos="0" locked="0" layoutInCell="1" allowOverlap="1" relativeHeight="2" wp14:anchorId="440B1555">
                <wp:simplePos x="0" y="0"/>
                <wp:positionH relativeFrom="column">
                  <wp:posOffset>0</wp:posOffset>
                </wp:positionH>
                <wp:positionV relativeFrom="paragraph">
                  <wp:posOffset>635</wp:posOffset>
                </wp:positionV>
                <wp:extent cx="635000" cy="635000"/>
                <wp:effectExtent l="0" t="0" r="0" b="0"/>
                <wp:wrapNone/>
                <wp:docPr id="1" name="Caixa de Texto 4"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Caixa de Texto 4" path="m0,0l-2147483645,0l-2147483645,-2147483646l0,-2147483646xe" stroked="f" o:allowincell="f" style="position:absolute;margin-left:0pt;margin-top:0pt;width:49.95pt;height:49.95pt;mso-wrap-style:none;v-text-anchor:middle" wp14:anchorId="440B1555">
                <v:fill o:detectmouseclick="t" on="false"/>
                <v:stroke color="#3465a4" joinstyle="round" endcap="flat"/>
                <w10:wrap type="none"/>
              </v:rect>
            </w:pict>
          </mc:Fallback>
        </mc:AlternateContent>
        <mc:AlternateContent>
          <mc:Choice Requires="wps">
            <w:drawing>
              <wp:anchor behindDoc="0" distT="0" distB="3175" distL="0" distR="3175" simplePos="0" locked="0" layoutInCell="1" allowOverlap="1" relativeHeight="3" wp14:anchorId="04B5ED7D">
                <wp:simplePos x="0" y="0"/>
                <wp:positionH relativeFrom="column">
                  <wp:posOffset>0</wp:posOffset>
                </wp:positionH>
                <wp:positionV relativeFrom="paragraph">
                  <wp:posOffset>635</wp:posOffset>
                </wp:positionV>
                <wp:extent cx="635000" cy="635000"/>
                <wp:effectExtent l="0" t="0" r="0" b="0"/>
                <wp:wrapNone/>
                <wp:docPr id="2" name="Caixa de Texto 3"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Caixa de Texto 3" path="m0,0l-2147483645,0l-2147483645,-2147483646l0,-2147483646xe" stroked="f" o:allowincell="f" style="position:absolute;margin-left:0pt;margin-top:0pt;width:49.95pt;height:49.95pt;mso-wrap-style:none;v-text-anchor:middle" wp14:anchorId="04B5ED7D">
                <v:fill o:detectmouseclick="t" on="false"/>
                <v:stroke color="#3465a4" joinstyle="round" endcap="flat"/>
                <w10:wrap type="none"/>
              </v:rect>
            </w:pict>
          </mc:Fallback>
        </mc:AlternateContent>
        <mc:AlternateContent>
          <mc:Choice Requires="wps">
            <w:drawing>
              <wp:anchor behindDoc="0" distT="0" distB="3175" distL="0" distR="3175" simplePos="0" locked="0" layoutInCell="1" allowOverlap="1" relativeHeight="4" wp14:anchorId="7367FC09">
                <wp:simplePos x="0" y="0"/>
                <wp:positionH relativeFrom="column">
                  <wp:posOffset>0</wp:posOffset>
                </wp:positionH>
                <wp:positionV relativeFrom="paragraph">
                  <wp:posOffset>635</wp:posOffset>
                </wp:positionV>
                <wp:extent cx="635000" cy="635000"/>
                <wp:effectExtent l="0" t="0" r="0" b="0"/>
                <wp:wrapNone/>
                <wp:docPr id="3" name="Caixa de Texto 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Caixa de Texto 2" path="m0,0l-2147483645,0l-2147483645,-2147483646l0,-2147483646xe" stroked="f" o:allowincell="f" style="position:absolute;margin-left:0pt;margin-top:0pt;width:49.95pt;height:49.95pt;mso-wrap-style:none;v-text-anchor:middle" wp14:anchorId="7367FC09">
                <v:fill o:detectmouseclick="t" on="false"/>
                <v:stroke color="#3465a4" joinstyle="round" endcap="flat"/>
                <w10:wrap type="none"/>
              </v:rect>
            </w:pict>
          </mc:Fallback>
        </mc:AlternateContent>
        <mc:AlternateContent>
          <mc:Choice Requires="wps">
            <w:drawing>
              <wp:anchor behindDoc="0" distT="0" distB="3175" distL="0" distR="3175" simplePos="0" locked="0" layoutInCell="1" allowOverlap="1" relativeHeight="5" wp14:anchorId="726510EE">
                <wp:simplePos x="0" y="0"/>
                <wp:positionH relativeFrom="column">
                  <wp:posOffset>0</wp:posOffset>
                </wp:positionH>
                <wp:positionV relativeFrom="paragraph">
                  <wp:posOffset>635</wp:posOffset>
                </wp:positionV>
                <wp:extent cx="635000" cy="635000"/>
                <wp:effectExtent l="0" t="0" r="0" b="0"/>
                <wp:wrapNone/>
                <wp:docPr id="4" name="Caixa de Texto 1"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Caixa de Texto 1" path="m0,0l-2147483645,0l-2147483645,-2147483646l0,-2147483646xe" stroked="f" o:allowincell="f" style="position:absolute;margin-left:0pt;margin-top:0pt;width:49.95pt;height:49.95pt;mso-wrap-style:none;v-text-anchor:middle" wp14:anchorId="726510EE">
                <v:fill o:detectmouseclick="t" on="false"/>
                <v:stroke color="#3465a4" joinstyle="round" endcap="flat"/>
                <w10:wrap type="none"/>
              </v:rect>
            </w:pict>
          </mc:Fallback>
        </mc:AlternateContent>
      </w:r>
      <w:r>
        <w:rPr>
          <w:rFonts w:eastAsia="Times New Roman" w:cs="Times New Roman" w:ascii="Times New Roman" w:hAnsi="Times New Roman"/>
          <w:b/>
          <w:color w:val="000000"/>
          <w:kern w:val="0"/>
          <w:lang w:eastAsia="pt-BR" w:bidi="ar-SA"/>
        </w:rPr>
        <w:t>ANEXO V</w:t>
      </w:r>
    </w:p>
    <w:p>
      <w:pPr>
        <w:pStyle w:val="Normal"/>
        <w:pBdr/>
        <w:spacing w:lineRule="auto" w:line="276"/>
        <w:jc w:val="center"/>
        <w:textAlignment w:val="auto"/>
        <w:rPr>
          <w:rFonts w:ascii="Times New Roman" w:hAnsi="Times New Roman" w:eastAsia="Times New Roman" w:cs="Times New Roman"/>
          <w:b/>
          <w:color w:val="000000"/>
          <w:kern w:val="0"/>
          <w:lang w:eastAsia="pt-BR" w:bidi="ar-SA"/>
        </w:rPr>
      </w:pPr>
      <w:r>
        <w:rPr>
          <w:rFonts w:eastAsia="Times New Roman" w:cs="Times New Roman" w:ascii="Times New Roman" w:hAnsi="Times New Roman"/>
          <w:b/>
          <w:color w:val="000000"/>
          <w:kern w:val="0"/>
          <w:lang w:eastAsia="pt-BR" w:bidi="ar-SA"/>
        </w:rPr>
        <w:t xml:space="preserve"> </w:t>
      </w:r>
      <w:r>
        <w:rPr>
          <w:rFonts w:eastAsia="Times New Roman" w:cs="Times New Roman" w:ascii="Times New Roman" w:hAnsi="Times New Roman"/>
          <w:b/>
          <w:color w:val="000000"/>
          <w:kern w:val="0"/>
          <w:lang w:eastAsia="pt-BR" w:bidi="ar-SA"/>
        </w:rPr>
        <w:t>DIRETRIZES TÉCNCAS</w:t>
      </w:r>
    </w:p>
    <w:p>
      <w:pPr>
        <w:pStyle w:val="Normal"/>
        <w:widowControl/>
        <w:spacing w:lineRule="auto" w:line="319"/>
        <w:jc w:val="center"/>
        <w:textAlignment w:val="auto"/>
        <w:rPr>
          <w:rFonts w:ascii="Times New Roman" w:hAnsi="Times New Roman" w:eastAsia="Times New Roman" w:cs="Times New Roman"/>
          <w:b/>
          <w:color w:val="000000"/>
          <w:kern w:val="0"/>
          <w:lang w:eastAsia="pt-BR" w:bidi="ar-SA"/>
        </w:rPr>
      </w:pPr>
      <w:r>
        <w:rPr>
          <w:rFonts w:eastAsia="Times New Roman" w:cs="Times New Roman" w:ascii="Times New Roman" w:hAnsi="Times New Roman"/>
          <w:b/>
          <w:color w:val="000000"/>
          <w:kern w:val="0"/>
          <w:lang w:eastAsia="pt-BR" w:bidi="ar-SA"/>
        </w:rPr>
      </w:r>
    </w:p>
    <w:p>
      <w:pPr>
        <w:pStyle w:val="Normal"/>
        <w:widowControl/>
        <w:spacing w:lineRule="auto" w:line="319"/>
        <w:jc w:val="center"/>
        <w:textAlignment w:val="auto"/>
        <w:rPr>
          <w:rFonts w:ascii="Times New Roman" w:hAnsi="Times New Roman" w:eastAsia="Times New Roman" w:cs="Times New Roman"/>
          <w:b/>
          <w:color w:val="000000"/>
          <w:kern w:val="0"/>
          <w:lang w:eastAsia="pt-BR" w:bidi="ar-SA"/>
        </w:rPr>
      </w:pPr>
      <w:r>
        <w:rPr>
          <w:rFonts w:eastAsia="Times New Roman" w:cs="Times New Roman" w:ascii="Times New Roman" w:hAnsi="Times New Roman"/>
          <w:b/>
          <w:color w:val="000000"/>
          <w:kern w:val="0"/>
          <w:lang w:eastAsia="pt-BR" w:bidi="ar-SA"/>
        </w:rPr>
      </w:r>
    </w:p>
    <w:p>
      <w:pPr>
        <w:pStyle w:val="Normal"/>
        <w:keepNext w:val="true"/>
        <w:keepLines/>
        <w:widowControl/>
        <w:numPr>
          <w:ilvl w:val="0"/>
          <w:numId w:val="8"/>
        </w:numPr>
        <w:spacing w:lineRule="auto" w:line="319"/>
        <w:textAlignment w:val="auto"/>
        <w:outlineLvl w:val="0"/>
        <w:rPr>
          <w:rFonts w:ascii="Times New Roman" w:hAnsi="Times New Roman" w:eastAsia="Times New Roman" w:cs="Times New Roman"/>
          <w:b/>
          <w:color w:val="000000"/>
          <w:kern w:val="0"/>
          <w:lang w:eastAsia="pt-BR" w:bidi="ar-SA"/>
        </w:rPr>
      </w:pPr>
      <w:bookmarkStart w:id="9" w:name="_heading=h.2et92p0"/>
      <w:bookmarkStart w:id="10" w:name="_heading=h.30j0zll"/>
      <w:bookmarkEnd w:id="9"/>
      <w:bookmarkEnd w:id="10"/>
      <w:r>
        <w:rPr>
          <w:rFonts w:eastAsia="Times New Roman" w:cs="Times New Roman" w:ascii="Times New Roman" w:hAnsi="Times New Roman"/>
          <w:b/>
          <w:color w:val="000000"/>
          <w:kern w:val="0"/>
          <w:lang w:eastAsia="pt-BR" w:bidi="ar-SA"/>
        </w:rPr>
        <w:t>DIRETRIZES GERAIS</w:t>
      </w:r>
    </w:p>
    <w:p>
      <w:pPr>
        <w:pStyle w:val="Normal"/>
        <w:widowControl/>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O presente ANEXO V – DIRETRIZES TÉCNICAS (“ANEXO V”) define as diretrizes para o cumprimento dos encargos de gestão, operação, manutenção e obras da CONCESSÃO, que deverão ser cumpridos pela CONCESSIONÁRIA no âmbito da CONCESSÃO.</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Nos casos omissos, a CONCESSIONÁRIA deverá solicitar orientação do PODER CONCEDENTE.</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Durante a CONCESSÃO, a CONCESSIONÁRIA deverá observar todos os requisitos deste ANEXO V.</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Sem prejuízo do disposto neste ANEXO V e nas normas vigentes, a CONCESSIONÁRIA deverá considerar o menor impacto ao meio ambiente, à paisagem e aos parâmetros urbanísticos da região, bem como promover a integração da CONCESSÃO com o seu entorno.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O PODER CONCEDENTE poderá, a qualquer tempo, constatando que a CONCESSIONÁRIA deixou de atender aos encargos estabelecidos neste ANEXO V e nos demais documentos que integram o EDITAL, manifestar-se expressamente no sentido de que sejam providenciados os ajustes e adequações necessários podendo, conforme o caso, aplicar as penalidades descritas no CONTRATO. </w:t>
      </w:r>
    </w:p>
    <w:p>
      <w:pPr>
        <w:pStyle w:val="Normal"/>
        <w:widowControl/>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poderá se valer, quando assim desejar, de inovações tecnológicas de processos ou equipamentos a fim de conferir eficiência ao cumprimento de suas obrigações e encargos, sejam relativas à operação e manutenção, sejam às partes edilícias, desde que respeitadas as normas vigentes e os termos do CONTRATO.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sempre que possível, fazer uso de ações que fomentem a sustentabilidade, a participação e inclusão social e o respeito às minorias e grupos sociais vulneráveis, buscando com essas ações combater qualquer discriminação advinda de questões de gênero, identidade étnico-racial, sexualidade, renda, idade, nacionalidade, deficiências, religiões, entre outras, a fim de gerar externalidades positivas que transcendam a área limite da CONCESSÃO.</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As atividades operacionais e as intervenções inerentes à execução do CONTRATO deverão ocasionar o mínimo de interferência negativa possível na CONCESSÃO, no seu entorno e na sua vizinhança, observada a legislação vigente e pertinente à CONCESSÃO, nos termos do CONTRATO.        </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manter a CONCESSÃO em condições de funcionamento adequado durante toda a vigência do CONTRATO, devendo prover, para tanto, os serviços necessários ao pleno atendimento das condições estabelecidas no CONTRATO e seus ANEXOS, inclusive neste ANEXO V.</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se responsabilizará integralmente pelo disposto no CONTRATO e seus ANEXOS, em especial neste ANEXO V, devendo impor o atendimento das referidas regras e disposições às pessoas físicas e jurídicas, subcontratadas e parceiras, e delas exigir os documentos que se fizerem necessários à demonstração de regularidade, quando exigido pelo PODER CONCEDENTE.</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realizar os investimentos necessários ao cumprimento dos encargos referentes às intervenções e à execução dos serviços.</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fazer reinvestimentos sempre e quando necessário para manter a CONCESSÃO, equipamentos e instalações atualizadas e em bom estado de conservação.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keepNext w:val="true"/>
        <w:keepLines/>
        <w:widowControl/>
        <w:numPr>
          <w:ilvl w:val="0"/>
          <w:numId w:val="8"/>
        </w:numPr>
        <w:spacing w:lineRule="auto" w:line="319"/>
        <w:textAlignment w:val="auto"/>
        <w:outlineLvl w:val="0"/>
        <w:rPr>
          <w:rFonts w:ascii="Times New Roman" w:hAnsi="Times New Roman" w:eastAsia="Times New Roman" w:cs="Times New Roman"/>
          <w:b/>
          <w:color w:val="000000"/>
          <w:kern w:val="0"/>
          <w:lang w:eastAsia="pt-BR" w:bidi="ar-SA"/>
        </w:rPr>
      </w:pPr>
      <w:bookmarkStart w:id="11" w:name="_heading=h.3dy6vkm"/>
      <w:bookmarkStart w:id="12" w:name="_heading=h.tyjcwt"/>
      <w:bookmarkEnd w:id="11"/>
      <w:bookmarkEnd w:id="12"/>
      <w:r>
        <w:rPr>
          <w:rFonts w:eastAsia="Times New Roman" w:cs="Times New Roman" w:ascii="Times New Roman" w:hAnsi="Times New Roman"/>
          <w:b/>
          <w:color w:val="000000"/>
          <w:kern w:val="0"/>
          <w:lang w:eastAsia="pt-BR" w:bidi="ar-SA"/>
        </w:rPr>
        <w:t>PROJETOS, LICENÇAS E AUTORIZAÇÕES</w:t>
      </w:r>
    </w:p>
    <w:p>
      <w:pPr>
        <w:pStyle w:val="Normal"/>
        <w:widowControl/>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color w:val="00000A"/>
          <w:kern w:val="0"/>
          <w:lang w:eastAsia="pt-BR" w:bidi="ar-SA"/>
        </w:rPr>
        <w:t>A CONCESSIONÁRIA deverá elaborar os projetos relativos às intervenções e obter todas as licenças, aprovações e/ou autorizações pertinentes à execução das intervenções, serviços e atividades realizadas no âmbito da CONCESSÃO, conforme disposto no CONTRATO.</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color w:val="00000A"/>
          <w:kern w:val="0"/>
          <w:lang w:eastAsia="pt-BR" w:bidi="ar-SA"/>
        </w:rPr>
        <w:t xml:space="preserve">O PODER CONCEDENTE cooperará com a CONCESSIONÁRIA com vistas à coordenação e integração das análises e decisões que competem às instâncias municipais no processo de aprovações urbanísticas, licenciamento ambiental, entre outros. </w:t>
      </w:r>
    </w:p>
    <w:p>
      <w:pPr>
        <w:pStyle w:val="Normal"/>
        <w:widowControl/>
        <w:pBdr/>
        <w:spacing w:lineRule="auto" w:line="319"/>
        <w:ind w:left="792"/>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providenciar e manter atualizadas todas as autorizações, alvarás, licenças e aprovações necessárias à execução das intervenções, observado o disposto no CONTRATO e na legislação pertinente.</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b/>
          <w:color w:val="00000A"/>
          <w:kern w:val="0"/>
          <w:lang w:eastAsia="pt-BR" w:bidi="ar-SA"/>
        </w:rPr>
        <w:t>Projetos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Os projetos, obras e serviços deverão considerar a acessibilidade arquitetônica e comunicacional às pessoas com deficiência e mobilidade reduzida, observadas as normas aplicáveis, especialmente as determinações da Lei Complementar n.º 632/2020, do Código de Obras e Edificações, das Leis Federais n.º 10.098/00 e n.º 13.146/15, do Decreto Federal nº 5.296/04 e da NBR ABNT 9050, ou outras que vierem a substituí-las.</w:t>
      </w:r>
    </w:p>
    <w:p>
      <w:pPr>
        <w:pStyle w:val="Normal"/>
        <w:widowControl/>
        <w:pBdr/>
        <w:spacing w:lineRule="auto" w:line="319"/>
        <w:ind w:left="357"/>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b/>
          <w:color w:val="00000A"/>
          <w:kern w:val="0"/>
          <w:u w:val="single"/>
          <w:lang w:eastAsia="pt-BR" w:bidi="ar-SA"/>
        </w:rPr>
      </w:pPr>
      <w:r>
        <w:rPr>
          <w:rFonts w:eastAsia="Times New Roman" w:cs="Times New Roman" w:ascii="Times New Roman" w:hAnsi="Times New Roman"/>
          <w:b/>
          <w:color w:val="00000A"/>
          <w:kern w:val="0"/>
          <w:lang w:eastAsia="pt-BR" w:bidi="ar-SA"/>
        </w:rPr>
        <w:t>Diretrizes Gerais para Licenças e Autorizações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Todas as intervenções a serem realizadas na CONCESSÃO deverão obedecer às legislações e normas brasileiras aplicáveis, sejam federais, estaduais ou municipais, incluindo as legislações ambientais e as do Corpo de Bombeiros.</w:t>
      </w:r>
    </w:p>
    <w:p>
      <w:pPr>
        <w:pStyle w:val="Normal"/>
        <w:widowControl/>
        <w:pBdr/>
        <w:spacing w:lineRule="auto" w:line="319"/>
        <w:ind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efetuar, no prazo máximo de 90 (noventa) dias contados da data da assinatura do CONTRATO, o protocolo das solicitações visando à obtenção das licenças municipais necessárias à realização das intervenções.</w:t>
      </w:r>
    </w:p>
    <w:p>
      <w:pPr>
        <w:pStyle w:val="ListParagraph"/>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análise por parte do PODER CONCEDENTE será efetuada, no prazo máximo de 30 (trinta) dias contados da data de protocolo.</w:t>
      </w:r>
    </w:p>
    <w:p>
      <w:pPr>
        <w:pStyle w:val="Normal"/>
        <w:widowControl/>
        <w:pBdr/>
        <w:spacing w:lineRule="auto" w:line="319"/>
        <w:ind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atender quaisquer complementações, correções, ajustes ou esclarecimentos solicitados pelos órgãos municipais durante o processo de obtenção das licenças municipais urbanísticas no prazo máximo concedido pelo órgão ou, na ausência deste, no prazo de 15 (quinze) dias contados da ciência da solicitação.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Caberá à CONCESSIONÁRIA a responsabilidade pela obtenção de todas as licenças, alvarás e permissões necessárias para a realização do início das operações na CONCESSÃO, através de alvarás temporários, parciais ou permanentes, conforme o caso.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O MUNICÍPIO deverá criar e implementar sistemática de análise específica para licenciamentos ambientais e urbanísticos municipais relacionados à CONCESSÃO, entre outros.</w:t>
      </w:r>
    </w:p>
    <w:p>
      <w:pPr>
        <w:pStyle w:val="Normal"/>
        <w:widowControl/>
        <w:pBdr/>
        <w:spacing w:lineRule="auto" w:line="319"/>
        <w:ind w:left="720"/>
        <w:jc w:val="both"/>
        <w:textAlignment w:val="auto"/>
        <w:rPr>
          <w:rFonts w:ascii="Times New Roman" w:hAnsi="Times New Roman" w:eastAsia="Times New Roman" w:cs="Times New Roman"/>
          <w:color w:val="00000A"/>
          <w:kern w:val="0"/>
          <w:highlight w:val="yellow"/>
          <w:lang w:eastAsia="pt-BR" w:bidi="ar-SA"/>
        </w:rPr>
      </w:pPr>
      <w:r>
        <w:rPr>
          <w:rFonts w:eastAsia="Times New Roman" w:cs="Times New Roman" w:ascii="Times New Roman" w:hAnsi="Times New Roman"/>
          <w:color w:val="00000A"/>
          <w:kern w:val="0"/>
          <w:highlight w:val="yellow"/>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b/>
          <w:color w:val="00000A"/>
          <w:kern w:val="0"/>
          <w:lang w:eastAsia="pt-BR" w:bidi="ar-SA"/>
        </w:rPr>
        <w:t>Licenças Urbanísticas</w:t>
      </w:r>
    </w:p>
    <w:p>
      <w:pPr>
        <w:pStyle w:val="Normal"/>
        <w:widowControl/>
        <w:pBdr/>
        <w:spacing w:lineRule="auto" w:line="319"/>
        <w:ind w:left="720"/>
        <w:textAlignment w:val="auto"/>
        <w:rPr>
          <w:rFonts w:ascii="Times New Roman" w:hAnsi="Times New Roman" w:eastAsia="Times New Roman" w:cs="Times New Roman"/>
          <w:color w:val="00000A"/>
          <w:kern w:val="0"/>
          <w:u w:val="single"/>
          <w:lang w:eastAsia="pt-BR" w:bidi="ar-SA"/>
        </w:rPr>
      </w:pPr>
      <w:r>
        <w:rPr>
          <w:rFonts w:eastAsia="Times New Roman" w:cs="Times New Roman" w:ascii="Times New Roman" w:hAnsi="Times New Roman"/>
          <w:color w:val="00000A"/>
          <w:kern w:val="0"/>
          <w:u w:val="single"/>
          <w:lang w:eastAsia="pt-BR" w:bidi="ar-SA"/>
        </w:rPr>
      </w:r>
    </w:p>
    <w:p>
      <w:pPr>
        <w:pStyle w:val="Normal"/>
        <w:widowControl/>
        <w:numPr>
          <w:ilvl w:val="2"/>
          <w:numId w:val="8"/>
        </w:numPr>
        <w:pBdr/>
        <w:spacing w:lineRule="auto" w:line="319"/>
        <w:ind w:hanging="504"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Para o licenciamento ou autorização de realização das intervenções na CONCESSÃO, a CONCESSIONÁRIA deverá protocolar o pedido de licença para reforma e/ou ampliação e/ou construção de área na Secretaria Municipal de Urbanismo (SMU), observado o disposto no item 2.5.2, acima. </w:t>
      </w:r>
    </w:p>
    <w:p>
      <w:pPr>
        <w:pStyle w:val="Normal"/>
        <w:widowControl/>
        <w:pBdr/>
        <w:spacing w:lineRule="auto" w:line="319"/>
        <w:ind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504"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O licenciamento de que trata o item 2.6.1, acima, poderá ser condicionado à análise e/ou projeto de Prevenção e Combate a Incêndio (PPCI) com aprovação do corpo de Bombeiros.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504" w:left="113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highlight w:val="white"/>
          <w:lang w:eastAsia="pt-BR" w:bidi="ar-SA"/>
        </w:rPr>
        <w:t xml:space="preserve">Eventuais medidas decorrentes da análise dos órgãos competentes referentes à </w:t>
      </w:r>
      <w:r>
        <w:rPr>
          <w:rFonts w:eastAsia="Times New Roman" w:cs="Times New Roman" w:ascii="Times New Roman" w:hAnsi="Times New Roman"/>
          <w:color w:val="00000A"/>
          <w:kern w:val="0"/>
          <w:lang w:eastAsia="pt-BR" w:bidi="ar-SA"/>
        </w:rPr>
        <w:t>implantação de extensões de infraestrutura de abastecimento de água, esgoto cloacal e drenagem pluvial do entorno da CONCESSÃO</w:t>
      </w:r>
      <w:r>
        <w:rPr>
          <w:rFonts w:eastAsia="Times New Roman" w:cs="Times New Roman" w:ascii="Times New Roman" w:hAnsi="Times New Roman"/>
          <w:color w:val="00000A"/>
          <w:kern w:val="0"/>
          <w:highlight w:val="white"/>
          <w:lang w:eastAsia="pt-BR" w:bidi="ar-SA"/>
        </w:rPr>
        <w:t xml:space="preserve"> deverão ser implementadas sob custeio, risco e responsabilidade do PODER CONCEDENTE.</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Todos os projetos básicos, executivos, complementares e de controle tecnológico, necessários para a execução das intervenções, deverão ser aprovados e licenciados junto aos órgãos municipais pela CONCESSIONÁRIA.</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b/>
          <w:color w:val="00000A"/>
          <w:kern w:val="0"/>
          <w:lang w:eastAsia="pt-BR" w:bidi="ar-SA"/>
        </w:rPr>
        <w:t xml:space="preserve"> </w:t>
      </w:r>
      <w:r>
        <w:rPr>
          <w:rFonts w:eastAsia="Times New Roman" w:cs="Times New Roman" w:ascii="Times New Roman" w:hAnsi="Times New Roman"/>
          <w:b/>
          <w:color w:val="00000A"/>
          <w:kern w:val="0"/>
          <w:lang w:eastAsia="pt-BR" w:bidi="ar-SA"/>
        </w:rPr>
        <w:t>Licenças Ambientais</w:t>
      </w:r>
    </w:p>
    <w:p>
      <w:pPr>
        <w:pStyle w:val="Normal"/>
        <w:widowControl/>
        <w:pBdr/>
        <w:spacing w:lineRule="auto" w:line="319"/>
        <w:ind w:left="720"/>
        <w:textAlignment w:val="auto"/>
        <w:rPr>
          <w:rFonts w:ascii="Times New Roman" w:hAnsi="Times New Roman" w:eastAsia="Times New Roman" w:cs="Times New Roman"/>
          <w:color w:val="00000A"/>
          <w:kern w:val="0"/>
          <w:u w:val="single"/>
          <w:lang w:eastAsia="pt-BR" w:bidi="ar-SA"/>
        </w:rPr>
      </w:pPr>
      <w:r>
        <w:rPr>
          <w:rFonts w:eastAsia="Times New Roman" w:cs="Times New Roman" w:ascii="Times New Roman" w:hAnsi="Times New Roman"/>
          <w:color w:val="00000A"/>
          <w:kern w:val="0"/>
          <w:u w:val="single"/>
          <w:lang w:eastAsia="pt-BR" w:bidi="ar-SA"/>
        </w:rPr>
      </w:r>
    </w:p>
    <w:p>
      <w:pPr>
        <w:pStyle w:val="Normal"/>
        <w:widowControl/>
        <w:numPr>
          <w:ilvl w:val="2"/>
          <w:numId w:val="8"/>
        </w:numPr>
        <w:spacing w:lineRule="auto" w:line="319"/>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highlight w:val="white"/>
          <w:lang w:eastAsia="pt-BR" w:bidi="ar-SA"/>
        </w:rPr>
        <w:t>A CONCESSIONÁRIA deverá obter as licenças ambientais que se façam eventualmente necessárias à realização das intervenções e serviços a serem desenvolvidos na CONCESSÃO.</w:t>
      </w:r>
    </w:p>
    <w:p>
      <w:pPr>
        <w:pStyle w:val="Normal"/>
        <w:widowControl/>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0"/>
          <w:kern w:val="0"/>
          <w:lang w:eastAsia="pt-BR" w:bidi="ar-SA"/>
        </w:rPr>
      </w:pPr>
      <w:sdt>
        <w:sdtPr>
          <w:tag w:val="goog_rdk_0"/>
          <w:id w:val="99846646"/>
        </w:sdtPr>
        <w:sdtContent>
          <w:r>
            <w:rPr/>
          </w:r>
          <w:r>
            <w:rPr/>
          </w:r>
        </w:sdtContent>
      </w:sdt>
      <w:r>
        <w:rPr>
          <w:rFonts w:eastAsia="Times New Roman" w:cs="Times New Roman" w:ascii="Times New Roman" w:hAnsi="Times New Roman"/>
          <w:color w:val="000000"/>
          <w:kern w:val="0"/>
          <w:lang w:eastAsia="pt-BR" w:bidi="ar-SA"/>
        </w:rPr>
        <w:t>A emissão da ORDEM DE INÍCIO ficará condicionada ao adimplemento, pela CONCESSIONÁRIA, das eventuais condições expostas na Licença Prévia, observados os riscos assumidos pela CONCESSIONÁRIA.</w:t>
      </w:r>
    </w:p>
    <w:p>
      <w:pPr>
        <w:pStyle w:val="Normal"/>
        <w:widowControl/>
        <w:spacing w:lineRule="auto" w:line="319"/>
        <w:textAlignment w:val="auto"/>
        <w:rPr>
          <w:rFonts w:ascii="Times New Roman" w:hAnsi="Times New Roman" w:eastAsia="Times New Roman" w:cs="Times New Roman"/>
          <w:color w:val="00000A"/>
          <w:kern w:val="0"/>
          <w:highlight w:val="yellow"/>
          <w:lang w:eastAsia="pt-BR" w:bidi="ar-SA"/>
        </w:rPr>
      </w:pPr>
      <w:r>
        <w:rPr>
          <w:rFonts w:eastAsia="Times New Roman" w:cs="Times New Roman" w:ascii="Times New Roman" w:hAnsi="Times New Roman"/>
          <w:color w:val="00000A"/>
          <w:kern w:val="0"/>
          <w:highlight w:val="yellow"/>
          <w:lang w:eastAsia="pt-BR" w:bidi="ar-SA"/>
        </w:rPr>
      </w:r>
    </w:p>
    <w:p>
      <w:pPr>
        <w:pStyle w:val="Normal"/>
        <w:keepNext w:val="true"/>
        <w:keepLines/>
        <w:widowControl/>
        <w:numPr>
          <w:ilvl w:val="0"/>
          <w:numId w:val="8"/>
        </w:numPr>
        <w:spacing w:lineRule="auto" w:line="319"/>
        <w:jc w:val="both"/>
        <w:textAlignment w:val="auto"/>
        <w:outlineLvl w:val="0"/>
        <w:rPr>
          <w:rFonts w:ascii="Times New Roman" w:hAnsi="Times New Roman" w:eastAsia="Times New Roman" w:cs="Times New Roman"/>
          <w:b/>
          <w:color w:val="000000"/>
          <w:kern w:val="0"/>
          <w:lang w:eastAsia="pt-BR" w:bidi="ar-SA"/>
        </w:rPr>
      </w:pPr>
      <w:bookmarkStart w:id="13" w:name="_heading=h.1t3h5sf"/>
      <w:bookmarkEnd w:id="13"/>
      <w:r>
        <w:rPr>
          <w:rFonts w:eastAsia="Times New Roman" w:cs="Times New Roman" w:ascii="Times New Roman" w:hAnsi="Times New Roman"/>
          <w:b/>
          <w:color w:val="000000"/>
          <w:kern w:val="0"/>
          <w:lang w:eastAsia="pt-BR" w:bidi="ar-SA"/>
        </w:rPr>
        <w:t>ENCARGOS DAS INTERVENÇÕES</w:t>
      </w:r>
    </w:p>
    <w:p>
      <w:pPr>
        <w:pStyle w:val="Normal"/>
        <w:widowControl/>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color w:val="00000A"/>
          <w:kern w:val="0"/>
          <w:lang w:eastAsia="pt-BR" w:bidi="ar-SA"/>
        </w:rPr>
        <w:t>As intervenções a serem realizadas na CONCESSÃO deverão observar as condições estabelecidas neste ANEXO V.</w:t>
      </w:r>
    </w:p>
    <w:p>
      <w:pPr>
        <w:pStyle w:val="Normal"/>
        <w:widowControl/>
        <w:pBdr/>
        <w:spacing w:lineRule="auto" w:line="319"/>
        <w:ind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color w:val="00000A"/>
          <w:kern w:val="0"/>
          <w:lang w:eastAsia="pt-BR" w:bidi="ar-SA"/>
        </w:rPr>
        <w:t>Quaisquer intervenções na CONCESSÃO deverão observar as diretrizes dispostas neste ANEXO V e a legislação vigente, priorizando os conceitos de sustentabilidade e acessibilidade universal, bem como atentando ao mínimo impacto ou interferência negativa na vizinhança da CONCESSÃO.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color w:val="00000A"/>
          <w:kern w:val="0"/>
          <w:lang w:eastAsia="pt-BR" w:bidi="ar-SA"/>
        </w:rPr>
        <w:t>As intervenções a serem realizadas pela CONCESSIONÁRIA, incluindo instalações de caráter não permanente, bem como as de reforma deverão observar as seguintes diretrizes:</w:t>
      </w:r>
    </w:p>
    <w:p>
      <w:pPr>
        <w:pStyle w:val="Normal"/>
        <w:widowControl/>
        <w:pBdr/>
        <w:spacing w:lineRule="auto" w:line="319"/>
        <w:ind w:left="108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0"/>
          <w:numId w:val="7"/>
        </w:numPr>
        <w:pBdr/>
        <w:spacing w:lineRule="auto" w:line="319"/>
        <w:ind w:hanging="720" w:left="144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Uso racional de energia, de luminárias e lâmpadas com alta eficiência luminosa, resultando em baixa potência instalada e garantia de conforto aos USUÁRIOS;</w:t>
      </w:r>
    </w:p>
    <w:p>
      <w:pPr>
        <w:pStyle w:val="Normal"/>
        <w:widowControl/>
        <w:numPr>
          <w:ilvl w:val="0"/>
          <w:numId w:val="7"/>
        </w:numPr>
        <w:pBdr/>
        <w:spacing w:lineRule="auto" w:line="319"/>
        <w:ind w:hanging="720" w:left="144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Priorização pelo uso de materiais recicláveis, sempre que possível, que diminuam desperdícios e resíduos na obra e que possam ser reaproveitados;</w:t>
      </w:r>
    </w:p>
    <w:p>
      <w:pPr>
        <w:pStyle w:val="Normal"/>
        <w:widowControl/>
        <w:numPr>
          <w:ilvl w:val="0"/>
          <w:numId w:val="7"/>
        </w:numPr>
        <w:pBdr/>
        <w:spacing w:lineRule="auto" w:line="319"/>
        <w:ind w:hanging="720" w:left="144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Dimensionamento eficiente de instalações elétricas, de refrigeração e climatização, hidrossanitárias e sistemas estruturais, a fim de evitar danos a equipamentos e desperdícios de materiais;</w:t>
      </w:r>
    </w:p>
    <w:p>
      <w:pPr>
        <w:pStyle w:val="Normal"/>
        <w:widowControl/>
        <w:numPr>
          <w:ilvl w:val="0"/>
          <w:numId w:val="7"/>
        </w:numPr>
        <w:pBdr/>
        <w:spacing w:lineRule="auto" w:line="319"/>
        <w:ind w:hanging="720" w:left="144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Instalação de equipamentos economizadores de água nos sanitários;</w:t>
      </w:r>
    </w:p>
    <w:p>
      <w:pPr>
        <w:pStyle w:val="Normal"/>
        <w:widowControl/>
        <w:numPr>
          <w:ilvl w:val="0"/>
          <w:numId w:val="7"/>
        </w:numPr>
        <w:pBdr/>
        <w:spacing w:lineRule="auto" w:line="319"/>
        <w:ind w:hanging="720" w:left="1440"/>
        <w:jc w:val="both"/>
        <w:textAlignment w:val="auto"/>
        <w:rPr>
          <w:rFonts w:ascii="Times New Roman" w:hAnsi="Times New Roman" w:eastAsia="Times New Roman" w:cs="Times New Roman"/>
          <w:color w:val="00000A"/>
          <w:kern w:val="0"/>
          <w:lang w:eastAsia="pt-BR" w:bidi="ar-SA"/>
        </w:rPr>
      </w:pPr>
      <w:bookmarkStart w:id="14" w:name="_heading=h.qsh70q"/>
      <w:bookmarkEnd w:id="14"/>
      <w:r>
        <w:rPr>
          <w:rFonts w:eastAsia="Times New Roman" w:cs="Times New Roman" w:ascii="Times New Roman" w:hAnsi="Times New Roman"/>
          <w:color w:val="00000A"/>
          <w:kern w:val="0"/>
          <w:lang w:eastAsia="pt-BR" w:bidi="ar-SA"/>
        </w:rPr>
        <w:t>Normas técnicas e vigentes relativas à acessibilidade, inclusive, mas não se limitando a ABNT NBR 9050 e Lei Complementar n.º 632/2020.</w:t>
      </w:r>
    </w:p>
    <w:p>
      <w:pPr>
        <w:pStyle w:val="Normal"/>
        <w:widowControl/>
        <w:pBdr/>
        <w:spacing w:lineRule="auto" w:line="319"/>
        <w:ind w:left="144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b/>
          <w:color w:val="00000A"/>
          <w:kern w:val="0"/>
          <w:lang w:eastAsia="pt-BR" w:bidi="ar-SA"/>
        </w:rPr>
      </w:pPr>
      <w:bookmarkStart w:id="15" w:name="_heading=h.r3p3tkoy2iw2"/>
      <w:bookmarkEnd w:id="15"/>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b/>
          <w:color w:val="00000A"/>
          <w:kern w:val="0"/>
          <w:lang w:eastAsia="pt-BR" w:bidi="ar-SA"/>
        </w:rPr>
        <w:t>Diretrizes de Obra e Canteiro de Obras das Intervenções</w:t>
      </w:r>
    </w:p>
    <w:p>
      <w:pPr>
        <w:pStyle w:val="Normal"/>
        <w:widowControl/>
        <w:pBdr/>
        <w:spacing w:lineRule="auto" w:line="319"/>
        <w:ind w:hanging="720" w:left="108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A CONCESSIONÁRIA será integralmente responsável pelas intervenções, obras e serviços de reforma porventura executados com vícios ou defeitos, em virtude de ação ou omissão, negligência, imperícia, imprudência ou emprego de material inadequado ou de qualidade inferior, inclusive aqueles que acarretem infiltrações de qualquer espécie ou natureza, que deverão ser demolidos e/ou refeitos, sem ônus ao PODER CONCEDENTE. </w:t>
      </w:r>
    </w:p>
    <w:p>
      <w:pPr>
        <w:pStyle w:val="Normal"/>
        <w:widowControl/>
        <w:pBdr/>
        <w:spacing w:lineRule="auto" w:line="319"/>
        <w:ind w:hanging="720" w:left="108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Para além das obrigações descritas nestas DIRETRIZES TÉCNICAS e sem prejuízo do disposto no CONTRATO, a CONCESSIONÁRIA se obriga e responsabiliza por:</w:t>
      </w:r>
    </w:p>
    <w:p>
      <w:pPr>
        <w:pStyle w:val="Normal"/>
        <w:widowControl/>
        <w:spacing w:lineRule="auto" w:line="319"/>
        <w:ind w:hanging="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fornecer todo o material, equipamentos e mão-de-obra necessários à execução das intervenções e dos serviços e sua mensuração adequada, bem como encargos, taxas e outras despesas;</w:t>
      </w:r>
    </w:p>
    <w:p>
      <w:pPr>
        <w:pStyle w:val="Normal"/>
        <w:widowControl/>
        <w:pBdr/>
        <w:spacing w:lineRule="auto" w:line="319"/>
        <w:ind w:hanging="720" w:left="108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 xml:space="preserve">pelos ônus e obrigações concernentes à legislação social, trabalhista, previdenciária, tributária, fiscal, securitária, comercial, civil e criminal, que se relacionem direta ou indiretamente com as obras, inclusive no tocante aos seus empregados, colaboradores e prepostos; </w:t>
      </w:r>
    </w:p>
    <w:p>
      <w:pPr>
        <w:pStyle w:val="Normal"/>
        <w:widowControl/>
        <w:pBdr/>
        <w:spacing w:lineRule="auto" w:line="319"/>
        <w:ind w:hanging="720" w:left="216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manter vigilância, constante e permanente, sobre os trabalhos executados, materiais, equipamentos da CONCESSÃO, cabendo-lhe toda a responsabilidade por quaisquer perdas e/ou danos que eventualmente venham a ocorrer;</w:t>
      </w:r>
    </w:p>
    <w:p>
      <w:pPr>
        <w:pStyle w:val="Normal"/>
        <w:widowControl/>
        <w:pBdr/>
        <w:spacing w:lineRule="auto" w:line="319"/>
        <w:ind w:hanging="720" w:left="108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elaborar e cumprir o Programa de Condições e Meio Ambiente de Trabalho (PCMAT), contemplando as exigências contidas na NR 9 e NR 18, compatíveis com o número de trabalhadores na obra, observando os regulamentos disciplinares, de segurança e de higiene necessários para o desenvolvimento da obra. Todos os custos destas ações serão responsabilidade da CONCESSIONÀRIA;</w:t>
      </w:r>
    </w:p>
    <w:p>
      <w:pPr>
        <w:pStyle w:val="Normal"/>
        <w:widowControl/>
        <w:pBdr/>
        <w:spacing w:lineRule="auto" w:line="319"/>
        <w:ind w:hanging="720" w:left="108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 xml:space="preserve">manter as áreas de trabalhos confinadas e sinalizadas conforme as normas de segurança e orientações do PODER CONCEDENTE, vedando o acesso a quaisquer pessoas estranhas ao seu quadro de empregados e colaboradores em geral, bem como constantemente limpas e desimpedidas, removendo o entulho, sobras e demais materiais inservíveis ou inaproveitáveis para os locais apropriados, atendendo a resolução CONAMA nº 307/2002,  relativa à gestão dos resíduos de construção civil, e demais legislações, no que couber; </w:t>
      </w:r>
    </w:p>
    <w:p>
      <w:pPr>
        <w:pStyle w:val="Normal"/>
        <w:widowControl/>
        <w:pBdr/>
        <w:spacing w:lineRule="auto" w:line="319"/>
        <w:ind w:hanging="720" w:left="108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designar, desde a apresentação dos projetos e pedidos de licenciamento das obras, responsável técnico devidamente habilitado, identificado por placa que contenha seu nome, qualificação profissional e número de inscrição no órgão fiscalizador da profissão, colocada no local onde for instalado o canteiro de obra;</w:t>
      </w:r>
    </w:p>
    <w:p>
      <w:pPr>
        <w:pStyle w:val="Normal"/>
        <w:widowControl/>
        <w:spacing w:lineRule="auto" w:line="319"/>
        <w:ind w:hanging="720" w:left="1077"/>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dispor em obra representante que, obrigatoriamente será seu colaborador, e que deverá estar sempre presente para prestar quaisquer esclarecimentos necessários ao PODER CONCEDENTE;</w:t>
      </w:r>
    </w:p>
    <w:p>
      <w:pPr>
        <w:pStyle w:val="Normal"/>
        <w:widowControl/>
        <w:spacing w:lineRule="auto" w:line="319"/>
        <w:ind w:hanging="720" w:left="1077"/>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bookmarkStart w:id="16" w:name="_heading=h.4d34og8"/>
      <w:bookmarkEnd w:id="16"/>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manter, de forma permanente, durante o período das obras das intervenções, todos os profissionais que forem necessários para o bom desenvolvimento dos trabalhos;</w:t>
      </w:r>
    </w:p>
    <w:p>
      <w:pPr>
        <w:pStyle w:val="Normal"/>
        <w:widowControl/>
        <w:pBdr/>
        <w:spacing w:lineRule="auto" w:line="319"/>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bookmarkStart w:id="17" w:name="_heading=h.2s8eyo1"/>
      <w:bookmarkStart w:id="18" w:name="_heading=h.2s8eyo1"/>
      <w:bookmarkEnd w:id="18"/>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fornecer, manter e fiscalizar o uso por parte de seus colaboradores durante o período das obras das intervenções, de todos os equipamentos de segurança necessários e exigidos pela legislação vigente, equipamentos de proteção individual (EPI’s), bem como equipamentos de proteção coletivo (EPC’s).</w:t>
      </w:r>
    </w:p>
    <w:p>
      <w:pPr>
        <w:pStyle w:val="Normal"/>
        <w:widowControl/>
        <w:pBdr/>
        <w:spacing w:lineRule="auto" w:line="319"/>
        <w:ind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As instalações provisórias para administração da obra ou “canteiro de obras” deverão ter aprovação de órgão responsável quanto ao local a ser instalado e material a ser utilizado, podendo ser executado em galpões provisórios, depósitos ou containers específicos para a utilização administrativa.</w:t>
      </w:r>
    </w:p>
    <w:p>
      <w:pPr>
        <w:pStyle w:val="Normal"/>
        <w:widowControl/>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Durante a realização das intervenções, as respectivas áreas da CONCESSÃO deverão ser isoladas, impedindo o acesso de pessoas não autorizadas.</w:t>
      </w:r>
    </w:p>
    <w:p>
      <w:pPr>
        <w:pStyle w:val="Normal"/>
        <w:widowControl/>
        <w:pBdr/>
        <w:spacing w:lineRule="auto" w:line="319"/>
        <w:ind w:hanging="720" w:left="1077"/>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As ligações provisórias de água devem atender às exigências do SAMAE, sendo de responsabilidade da CONCESSIONÁRIA o pedido de ligação, a documentação necessária e o custo com o consumo no período da CONCESSÃO.</w:t>
      </w:r>
    </w:p>
    <w:p>
      <w:pPr>
        <w:pStyle w:val="Normal"/>
        <w:widowControl/>
        <w:pBdr/>
        <w:spacing w:lineRule="auto" w:line="319"/>
        <w:ind w:hanging="720" w:left="1077"/>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 apresentar solução adequada para a destinação do esgoto e do resíduo gerados no canteiro de obras.</w:t>
      </w:r>
    </w:p>
    <w:p>
      <w:pPr>
        <w:pStyle w:val="Normal"/>
        <w:widowControl/>
        <w:pBdr/>
        <w:spacing w:lineRule="auto" w:line="319"/>
        <w:ind w:hanging="720" w:left="1077"/>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As ligações provisórias de energia elétrica para atender o canteiro de obras e equipamentos utilizados na execução das intervenções podem ser realizados através de ligação provisória ou instalação de geradores, sendo de responsabilidade da CONCESSIONÁRIA e devendo atender às exigências da concessionária distribuidora de energia elétrica local e as normas vigentes de instalações provisórias de média e alta tensão e arcar com o custo do consumo mensal de energia.</w:t>
      </w:r>
    </w:p>
    <w:p>
      <w:pPr>
        <w:pStyle w:val="Normal"/>
        <w:widowControl/>
        <w:pBdr/>
        <w:spacing w:lineRule="auto" w:line="319"/>
        <w:ind w:hanging="720" w:left="1077"/>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ind w:hanging="720"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No local destinado à administração da obra a CONCESSIONÁRIA deverá disponibilizar ao PODER CONCEDENTE, sempre que necessário à adequada fiscalização das intervenções, a documentação de projeto, inclusive uma cópia impressa, documentação de obra, cópias das licenças, a ART de execução, Livro de Registro de Ocorrências e o que mais for necessário ao acompanhamento da execução das intervenções.</w:t>
      </w:r>
    </w:p>
    <w:p>
      <w:pPr>
        <w:pStyle w:val="Normal"/>
        <w:widowControl/>
        <w:pBdr/>
        <w:spacing w:lineRule="auto" w:line="319"/>
        <w:ind w:left="792"/>
        <w:jc w:val="both"/>
        <w:textAlignment w:val="auto"/>
        <w:rPr>
          <w:rFonts w:ascii="Arial" w:hAnsi="Arial" w:eastAsia="Arial" w:cs="Arial"/>
          <w:color w:val="00000A"/>
          <w:kern w:val="0"/>
          <w:sz w:val="22"/>
          <w:szCs w:val="22"/>
          <w:highlight w:val="yellow"/>
          <w:lang w:eastAsia="pt-BR" w:bidi="ar-SA"/>
        </w:rPr>
      </w:pPr>
      <w:r>
        <w:rPr>
          <w:rFonts w:eastAsia="Arial" w:cs="Arial" w:ascii="Arial" w:hAnsi="Arial"/>
          <w:color w:val="00000A"/>
          <w:kern w:val="0"/>
          <w:sz w:val="22"/>
          <w:szCs w:val="22"/>
          <w:highlight w:val="yellow"/>
          <w:lang w:eastAsia="pt-BR" w:bidi="ar-SA"/>
        </w:rPr>
      </w:r>
    </w:p>
    <w:p>
      <w:pPr>
        <w:pStyle w:val="Normal"/>
        <w:widowControl/>
        <w:numPr>
          <w:ilvl w:val="1"/>
          <w:numId w:val="8"/>
        </w:numPr>
        <w:pBdr/>
        <w:spacing w:lineRule="auto" w:line="319"/>
        <w:ind w:hanging="646" w:left="792"/>
        <w:jc w:val="both"/>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color w:val="00000A"/>
          <w:kern w:val="0"/>
          <w:lang w:eastAsia="pt-BR" w:bidi="ar-SA"/>
        </w:rPr>
        <w:t xml:space="preserve"> </w:t>
      </w:r>
      <w:r>
        <w:rPr>
          <w:rFonts w:eastAsia="Times New Roman" w:cs="Times New Roman" w:ascii="Times New Roman" w:hAnsi="Times New Roman"/>
          <w:b/>
          <w:color w:val="00000A"/>
          <w:kern w:val="0"/>
          <w:lang w:eastAsia="pt-BR" w:bidi="ar-SA"/>
        </w:rPr>
        <w:t>CRONOGRAMA FÍSICO DE EXECUÇÃO</w:t>
      </w:r>
    </w:p>
    <w:p>
      <w:pPr>
        <w:pStyle w:val="Normal"/>
        <w:widowControl/>
        <w:pBdr/>
        <w:spacing w:lineRule="auto" w:line="319"/>
        <w:ind w:left="720"/>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concluir a execução das intervenções no prazo máximo, a contar da DATA DE EFICÀCIA, de:</w:t>
      </w:r>
    </w:p>
    <w:p>
      <w:pPr>
        <w:pStyle w:val="Normal"/>
        <w:widowControl/>
        <w:spacing w:lineRule="auto" w:line="319"/>
        <w:ind w:hanging="720" w:left="1077"/>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04 (quatro) meses no caso de reforma/adaptação em edificação existente;</w:t>
      </w:r>
    </w:p>
    <w:p>
      <w:pPr>
        <w:pStyle w:val="Normal"/>
        <w:widowControl/>
        <w:pBdr/>
        <w:spacing w:lineRule="auto" w:line="319"/>
        <w:ind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08 (oito) meses no caso de reforma com ampliação em edificação existente cuja área da ampliação é menor que a área de reforma;</w:t>
      </w:r>
    </w:p>
    <w:p>
      <w:pPr>
        <w:pStyle w:val="ListParagraph"/>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12 (doze) meses no caso de reforma com ampliação em edificação existente cuja área da ampliação é maior que a área de reforma;</w:t>
      </w:r>
    </w:p>
    <w:p>
      <w:pPr>
        <w:pStyle w:val="ListParagraph"/>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3"/>
          <w:numId w:val="8"/>
        </w:numPr>
        <w:pBdr/>
        <w:spacing w:lineRule="auto" w:line="319"/>
        <w:ind w:hanging="720" w:left="1854"/>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 </w:t>
      </w:r>
      <w:r>
        <w:rPr>
          <w:rFonts w:eastAsia="Times New Roman" w:cs="Times New Roman" w:ascii="Times New Roman" w:hAnsi="Times New Roman"/>
          <w:color w:val="000000"/>
          <w:kern w:val="0"/>
          <w:lang w:eastAsia="pt-BR" w:bidi="ar-SA"/>
        </w:rPr>
        <w:t>18 (dezoito) meses no caso de nova construção;</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 </w:t>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CONCESSÃO poderá se estabelecer em áreas locadas ou próprias.</w:t>
      </w:r>
    </w:p>
    <w:p>
      <w:pPr>
        <w:pStyle w:val="Normal"/>
        <w:widowControl/>
        <w:pBdr/>
        <w:spacing w:lineRule="auto" w:line="276"/>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keepNext w:val="true"/>
        <w:keepLines/>
        <w:widowControl/>
        <w:numPr>
          <w:ilvl w:val="0"/>
          <w:numId w:val="8"/>
        </w:numPr>
        <w:spacing w:lineRule="auto" w:line="319"/>
        <w:textAlignment w:val="auto"/>
        <w:outlineLvl w:val="0"/>
        <w:rPr>
          <w:rFonts w:ascii="Times New Roman" w:hAnsi="Times New Roman" w:eastAsia="Times New Roman" w:cs="Times New Roman"/>
          <w:b/>
          <w:color w:val="000000"/>
          <w:kern w:val="0"/>
          <w:lang w:eastAsia="pt-BR" w:bidi="ar-SA"/>
        </w:rPr>
      </w:pPr>
      <w:bookmarkStart w:id="19" w:name="_heading=h.26in1rg"/>
      <w:bookmarkEnd w:id="19"/>
      <w:r>
        <w:rPr>
          <w:rFonts w:eastAsia="Times New Roman" w:cs="Times New Roman" w:ascii="Times New Roman" w:hAnsi="Times New Roman"/>
          <w:b/>
          <w:color w:val="000000"/>
          <w:kern w:val="0"/>
          <w:lang w:eastAsia="pt-BR" w:bidi="ar-SA"/>
        </w:rPr>
        <w:t>ENCARGOS OPERACIONAIS</w:t>
      </w:r>
    </w:p>
    <w:p>
      <w:pPr>
        <w:pStyle w:val="Normal"/>
        <w:widowControl/>
        <w:spacing w:lineRule="auto" w:line="31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b/>
          <w:color w:val="00000A"/>
          <w:kern w:val="0"/>
          <w:lang w:eastAsia="pt-BR" w:bidi="ar-SA"/>
        </w:rPr>
        <w:t>Condições Gerais</w:t>
      </w:r>
    </w:p>
    <w:p>
      <w:pPr>
        <w:pStyle w:val="Normal"/>
        <w:widowControl/>
        <w:spacing w:lineRule="auto" w:line="31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Caberá única e exclusivamente à CONCESSIONÁRIA, conforme sua estratégia empresarial, a total responsabilidade pelo adequado dimensionamento de suas equipes, com capacidade suficiente para entregar disponibilidade e qualidade exigidas nos serviços. </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648" w:left="1728"/>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Em nenhuma hipótese a CONCESSIONÁRIA poderá justificar eventuais equívocos de dimensionamento em função dos quantitativos aqui apresentados.</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ou suas subcontratadas deverão ter, ao longo de todo o período de CONCESSÃO, um quadro de colaboradores ou empregados capacitados para executar as atividades necessárias ao cumprimento do OBJETO, adotando as melhores práticas de mercado, com o objetivo de atingir excelência nos serviços.</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é obrigada a permitir o acesso do PODER CONCEDENTE às instalações da CONCESSÃO para verificações e fiscalização.</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será responsável pela contratação e manutenção, durante toda a vigência da CONCESSÃO, de seguro contra incêndio e de responsabilidade civil e patrimonial.</w:t>
      </w:r>
    </w:p>
    <w:p>
      <w:pPr>
        <w:pStyle w:val="Normal"/>
        <w:widowControl/>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Todos os custos relacionados às atividades e serviços inerentes à operação da CONCESSSÃO, tais como tarifas de água e esgoto, gás de cozinha, telefonia, internet e energia elétrica das edificações, equipamentos, insumos e instalações, serão de responsabilidade da CONCESSIONÁRIA e/ou de seus subcontratados.</w:t>
      </w:r>
    </w:p>
    <w:p>
      <w:pPr>
        <w:pStyle w:val="Normal"/>
        <w:widowControl/>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colocar à disposição dos USUÁRIOS os recipientes próprios (lixeiras) que garantam a separação dos resíduos sólidos gerados durante a operação da CONCESSÃO.</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ou suas contratadas deverão munir seus prepostos ou empregados com Equipamentos de Proteção Individual e demais equipamentos necessários para a execução de suas funções, fiscalizar seu uso, respeitando a legislação vigente e as normas de segurança.</w:t>
      </w:r>
    </w:p>
    <w:p>
      <w:pPr>
        <w:pStyle w:val="Normal"/>
        <w:widowControl/>
        <w:spacing w:lineRule="auto" w:line="276" w:before="0" w:after="0"/>
        <w:ind w:left="720"/>
        <w:contextualSpacing/>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Os serviços de carga e descarga deverão causar o mínimo impacto possível aos USUÁRIOS, não dificultar o trânsito, a iluminação e o acesso às saídas de emergência.</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ambiente da CONCESSÃO deverá estar sempre limpo e sem odores, assegurando a não proliferação de pragas e vetores.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manter, em portal eletrônico específico, informações atualizadas sobre as atividades referentes ao OBJETO da CONCESSÃO.</w:t>
      </w:r>
    </w:p>
    <w:p>
      <w:pPr>
        <w:pStyle w:val="Normal"/>
        <w:widowControl/>
        <w:spacing w:lineRule="auto" w:line="276" w:before="0" w:after="0"/>
        <w:ind w:left="720"/>
        <w:contextualSpacing/>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b/>
          <w:color w:val="00000A"/>
          <w:kern w:val="0"/>
          <w:lang w:eastAsia="pt-BR" w:bidi="ar-SA"/>
        </w:rPr>
        <w:t>Administração e Gestão</w:t>
      </w:r>
    </w:p>
    <w:p>
      <w:pPr>
        <w:pStyle w:val="Normal"/>
        <w:widowControl/>
        <w:pBdr/>
        <w:spacing w:lineRule="auto" w:line="319"/>
        <w:ind w:left="70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diretamente ou através de suas subcontratadas e parceiras, deverá:</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648" w:left="1728"/>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Manter, ao longo de todo o período de CONCESSÃO, um quadro de prepostos, empregados ou colaboradores capacitados para executar os SERVIÇOS, considerando as condições mínimas exigidas no EDITAL e seus ANEXOS;</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648" w:left="1728"/>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Munir seus quadros de prepostos ou empregados com EPI’s, EPC’s e demais equipamentos necessários à execução de suas funções, respeitando a legislação trabalhista e previdenciária e as normas de segurança e saúde do trabalho; </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648" w:left="1728"/>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Manter registro atualizado a respeito da situação funcional de seus prepostos e empregados, incluindo seus dados de identificação, e disponibiliza-lo ao PODER CONCEDENTE sempre que solicitado;</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648" w:left="1728"/>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Indicar um profissional, (ou profissionais) dentro de seu quadro de prepostos, colaboradores ou empregados, que possua entendimento completo de todas as atividades relativas ao OBJETO da CONCESSÃO, para realizar a interlocução com o PODER CONCEDENTE durante o período da CONCESSÃO;</w:t>
      </w:r>
    </w:p>
    <w:p>
      <w:pPr>
        <w:pStyle w:val="Normal"/>
        <w:widowControl/>
        <w:pBdr/>
        <w:spacing w:lineRule="auto" w:line="319"/>
        <w:ind w:left="70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3"/>
          <w:numId w:val="8"/>
        </w:numPr>
        <w:pBdr/>
        <w:spacing w:lineRule="auto" w:line="319"/>
        <w:ind w:hanging="648" w:left="1728"/>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Manter todos os funcionários, colaboradores ou prepostos devidamente uniformizados e identificados durante o expediente, visando a sua segurança e conforto na execução dos SERVIÇOS, bem como a identificação visual de suas funções;</w:t>
      </w:r>
    </w:p>
    <w:p>
      <w:pPr>
        <w:pStyle w:val="Normal"/>
        <w:widowControl/>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apresentar ao PODER CONCEDENTE relatórios de atividades e informações necessárias à fiscalização e acompanhamento do CONTRATO com os dados que o PODER CONCEDENTE julgar necessários.</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b/>
          <w:color w:val="00000A"/>
          <w:kern w:val="0"/>
          <w:lang w:eastAsia="pt-BR" w:bidi="ar-SA"/>
        </w:rPr>
        <w:t xml:space="preserve">Zeladoria </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A CONCESSIONÁRIA deverá manter a ÁREA DA CONCESSÃO disponível e em condições para utilização dos USUÁRIOS, responsabilizando-se pela manutenção e recuperação de todos os elementos e equipamentos que a compõem, inclusive os relacionados ao paisagismo, mobiliário, equipamentos infraestrutura, entre outros, visando garantir sua disponibilidade de forma ininterrupta e segura para os USUÁRIOS. </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também deverá garantir que elementos construtivos, como pisos, azulejos, pinturas, calhas, entre outros, e instalações elétricas, hidráulicas, de refrigeração e climatização, entre outras, encontrem-se em boas condições, possuindo como referência, o momento em que foram implementadas.</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CONCESSIONÁRIA deverá respeitar as recomendações dos fabricantes e as normas vigentes visando a manter a garantia de uso das edificações, instalações, infraestruturas, mobiliários e equipamentos e a segurança operacional da CONCESSÃO.</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apresentar ao PODER CONCEDENTE, sempre que solicitado, laudos das vistorias e dos reparos realizados pela   CONCESSIONÁRIA a fim de garantir a qualidade dos serviços e atividades disponibilizadas aos USUÁRIOS.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planejar e implantar rotina de manutenção preditiva, preventiva e corretiva, para todas os elementos construtivos e de paisagismo, do mobiliário, dos utensílios, dos equipamentos, das infraestruturas, dos sistemas internos de tratamento de esgoto, e de quaisquer outros itens relacionados ao adequado funcionamento da CONCESSÃO.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será responsável pela manutenção preventiva e corretiva das instalações dos equipamentos integrantes da CONCESSÃO, incluindo instalações elétrica, hidráulica, predial, eletromecânica, eletrônica, de refrigeração, de climatização, de ventilação e de exaustão.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se responsabilizar por todos os custos relacionados aos serviços de infraestrutura inerentes à operação da CONCESSÃO, tais como tarifa de água, telefonia, internet e energia elétrica das edificações, equipamentos e instalações sob sua responsabilidade.</w:t>
      </w:r>
    </w:p>
    <w:p>
      <w:pPr>
        <w:pStyle w:val="ListParagraph"/>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b/>
          <w:color w:val="00000A"/>
          <w:kern w:val="0"/>
          <w:lang w:eastAsia="pt-BR" w:bidi="ar-SA"/>
        </w:rPr>
        <w:t>Limpeza e Controle de Pragas</w:t>
      </w:r>
    </w:p>
    <w:p>
      <w:pPr>
        <w:pStyle w:val="Normal"/>
        <w:widowControl/>
        <w:pBdr/>
        <w:spacing w:lineRule="auto" w:line="319"/>
        <w:ind w:left="792"/>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realizar a limpeza e conservação da  CONCESSÃO, mantendo limpas, livres de odores e com boas condições de higiene todas as edificações, equipamentos, instalações e infraestruturas integrantes da CONCESSÃO, compreendendo, mas não se limitando a limpeza de sanitários, caixas d’água, mobiliários, vias e caminhos de circulação, áreas de alimentação, interior de edificações, visando oferecer uma condição saudável para o uso da CONCESSÃO e seus USUÁRIOS.</w:t>
      </w:r>
    </w:p>
    <w:p>
      <w:pPr>
        <w:pStyle w:val="Normal"/>
        <w:widowControl/>
        <w:pBdr/>
        <w:spacing w:lineRule="auto" w:line="319"/>
        <w:ind w:left="1224"/>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Todas as atividades de limpeza deverão, sempre que possível, utilizar meios ecológicos, que utilizem produtos e métodos não nocivos à saúde humana e que reduzam o impacto ao meio ambiente.</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manter os sanitários da CONCESSÃO abertos de acordo com o horário de funcionamento, garantindo o seu abastecimento com suprimentos de higiene necessários ao seu bom funcionamento, tais como: papel higiênico, sabonete e papel para secar as mãos ou equipamentos de secagem.</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Os serviços de limpeza das áreas internas e externas da CONCESSÃO compreende, inclusive, os serviços de gestão de resíduos, por meio de política de segregação e coleta seletiva, sendo realizada a segregação, acondicionamento e transporte interno dos resíduos, até o local de sua coleta.</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sdt>
        <w:sdtPr>
          <w:tag w:val="goog_rdk_4"/>
          <w:id w:val="-1658454445"/>
        </w:sdtPr>
        <w:sdtContent>
          <w:r>
            <w:rPr/>
          </w:r>
          <w:r>
            <w:rPr/>
          </w:r>
        </w:sdtContent>
      </w:sdt>
      <w:sdt>
        <w:sdtPr>
          <w:tag w:val="goog_rdk_5"/>
          <w:id w:val="745310569"/>
        </w:sdtPr>
        <w:sdtContent>
          <w:r>
            <w:rPr/>
          </w:r>
          <w:r>
            <w:rPr/>
          </w:r>
        </w:sdtContent>
      </w:sdt>
      <w:r>
        <w:rPr>
          <w:rFonts w:eastAsia="Times New Roman" w:cs="Times New Roman" w:ascii="Times New Roman" w:hAnsi="Times New Roman"/>
          <w:color w:val="00000A"/>
          <w:kern w:val="0"/>
          <w:lang w:eastAsia="pt-BR" w:bidi="ar-SA"/>
        </w:rPr>
        <w:t>A CONCESSIONÁRIA deverá responsabilizar-se pela destinação dos resíduos gerados nas dependências da CONCESSÃO, oriundos da utilização dos serviços e das atividades administrativas e operacionais, desde sua coleta e armazenamento até a sua disposição final, atentando-se para a manutenção de uma política de mínimo impacto, nos termos da Lei Federal nº 12.305/2010, da Lei Federal nº 11.445/2007 ou de outras que venham a substituí-las.</w:t>
      </w:r>
    </w:p>
    <w:p>
      <w:pPr>
        <w:pStyle w:val="Normal"/>
        <w:widowControl/>
        <w:spacing w:lineRule="auto" w:line="31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t xml:space="preserve">O espaço para armazenamento dos resíduos deverá possuir ventilação adequada, telas e/ou barreiras mecânicas contra a fauna sinantrópica, bem como ser posicionado em local que permita o fluxo de sua utilização sem conflitar com os usuários. </w:t>
      </w:r>
    </w:p>
    <w:p>
      <w:pPr>
        <w:pStyle w:val="Normal"/>
        <w:widowControl/>
        <w:spacing w:lineRule="auto" w:line="31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planejar e realizar periodicamente controle de pragas, adotando práticas que minimizem o uso de insumos agressivos ao meio ambiente e aos usuários, sempre em acordo com a legislação vigente.</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manter atualizados laudos técnicos, emitidos por prestador de serviço qualificado e reconhecido, que atestem que toda a área da CONCESSÃO se encontra livre de infestações de pragas possam oferecer riscos à saúde e integridade dos usuários e ao funcionamento dos equipamentos.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b/>
          <w:color w:val="00000A"/>
          <w:kern w:val="0"/>
          <w:lang w:eastAsia="pt-BR" w:bidi="ar-SA"/>
        </w:rPr>
        <w:t>Vigilância e Segurança patrimonial</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planejar e implementar sistemas e rotinas de vigilância visando maximizar a proteção, segurança e integridade dos usuários e dos bens patrimoniais da CONCESSÃO.</w:t>
      </w:r>
    </w:p>
    <w:p>
      <w:pPr>
        <w:pStyle w:val="Normal"/>
        <w:widowControl/>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CONCESSÃO deverá ser monitorada, no mínimo, por segurança eletrônica.</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As equipes de segurança, caso houverem, não deverão, em hipótese alguma, no exercício de suas funções, tomar medidas discriminatórias contra quaisquer usuários, sejam elas baseadas em gênero, etnia, raça, renda, sexualidade, idade, nacionalidade, religião, deficiência ou outras, ou mesmo contra minorias e grupos sociais vulneráveis.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As equipes de vigilância e segurança, caso houverem, deverão, antes de iniciar sua atuação na CONCESSÃO, ser capacitadas sobre as questões de gênero e diversidade, sobre os direitos de minorias sociais e grupos sociais vulneráveis, estando preparadas para o tratamento com os usuários e atuar de maneira qualificada na mediação de conflitos.</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comunicar imediatamente às autoridades policiais e ao PODER CONCEDENTE os casos de danos ao patrimônio da CONCESSÃO, ou ainda o flagrante de ocorrência de crimes e outros delitos, disponibilizando relatório de ocorrências quando solicitado.</w:t>
      </w:r>
    </w:p>
    <w:p>
      <w:pPr>
        <w:pStyle w:val="Normal"/>
        <w:widowControl/>
        <w:pBdr/>
        <w:spacing w:lineRule="auto" w:line="319"/>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 controlar a entrada e a saída de veículos, pessoas e materiais nas instalações da CONCESSÃO.</w:t>
      </w:r>
    </w:p>
    <w:p>
      <w:pPr>
        <w:pStyle w:val="Normal"/>
        <w:widowControl/>
        <w:spacing w:lineRule="auto" w:line="319"/>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jc w:val="both"/>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b/>
          <w:color w:val="00000A"/>
          <w:kern w:val="0"/>
          <w:lang w:eastAsia="pt-BR" w:bidi="ar-SA"/>
        </w:rPr>
        <w:t>Atendimento ao Usuário</w:t>
      </w:r>
    </w:p>
    <w:p>
      <w:pPr>
        <w:pStyle w:val="Normal"/>
        <w:widowControl/>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realizar o atendimento e recepção dos usuários com foco na maximização da sua experiência e nas boas relações entre os usuários, respeitando a pluralidade social existente e inibindo qualquer postura discriminatória baseada em gênero, raça, etnia, renda, sexualidade, idade, deficiência, religião, nacionalidade dentro da CONCESSÃO, de parte de seus funcionários, suas subcontratadas e seus respectivos prepostos ou empregados.</w:t>
      </w:r>
    </w:p>
    <w:p>
      <w:pPr>
        <w:pStyle w:val="Normal"/>
        <w:widowControl/>
        <w:pBdr/>
        <w:spacing w:lineRule="auto" w:line="276"/>
        <w:ind w:left="720"/>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r>
    </w:p>
    <w:p>
      <w:pPr>
        <w:pStyle w:val="Normal"/>
        <w:widowControl/>
        <w:numPr>
          <w:ilvl w:val="1"/>
          <w:numId w:val="8"/>
        </w:numPr>
        <w:pBdr/>
        <w:spacing w:lineRule="auto" w:line="319"/>
        <w:textAlignment w:val="auto"/>
        <w:rPr>
          <w:rFonts w:ascii="Times New Roman" w:hAnsi="Times New Roman" w:eastAsia="Times New Roman" w:cs="Times New Roman"/>
          <w:b/>
          <w:color w:val="00000A"/>
          <w:kern w:val="0"/>
          <w:lang w:eastAsia="pt-BR" w:bidi="ar-SA"/>
        </w:rPr>
      </w:pPr>
      <w:r>
        <w:rPr>
          <w:rFonts w:eastAsia="Times New Roman" w:cs="Times New Roman" w:ascii="Times New Roman" w:hAnsi="Times New Roman"/>
          <w:b/>
          <w:color w:val="00000A"/>
          <w:kern w:val="0"/>
          <w:lang w:eastAsia="pt-BR" w:bidi="ar-SA"/>
        </w:rPr>
        <w:t>Brigada de Segurança e Combate a Incêndio:</w:t>
      </w:r>
    </w:p>
    <w:p>
      <w:pPr>
        <w:pStyle w:val="Normal"/>
        <w:widowControl/>
        <w:pBdr/>
        <w:tabs>
          <w:tab w:val="clear" w:pos="720"/>
          <w:tab w:val="left" w:pos="-142" w:leader="none"/>
        </w:tabs>
        <w:spacing w:lineRule="auto" w:line="319"/>
        <w:ind w:hanging="720" w:left="360" w:right="14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Todas as normas vigentes quanto à segurança e proteção contra incêndio deverão ser atendidas pela CONCESSIONÁRIA, observando-se também toda normativa relativa aos sistemas, equipamentos e treinamentos necessários, nas infraestruturas e áreas da CONCESSÃO.</w:t>
      </w:r>
    </w:p>
    <w:p>
      <w:pPr>
        <w:pStyle w:val="Normal"/>
        <w:widowControl/>
        <w:pBdr/>
        <w:tabs>
          <w:tab w:val="clear" w:pos="720"/>
          <w:tab w:val="left" w:pos="-142" w:leader="none"/>
        </w:tabs>
        <w:spacing w:lineRule="auto" w:line="319"/>
        <w:ind w:hanging="720" w:left="360" w:right="14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manter, conforme as normas vigentes e instruções do corpo de bombeiros, a CONCESSÃO permanentemente dotada de aparelhagem em boas condições de uso e adequada à prevenção e extinção de incêndio e sinistro, mantendo igualmente o seu pessoal instruído quanto ao emprego eficaz dessa aparelhagem.</w:t>
      </w:r>
    </w:p>
    <w:p>
      <w:pPr>
        <w:pStyle w:val="Normal"/>
        <w:widowControl/>
        <w:pBdr/>
        <w:tabs>
          <w:tab w:val="clear" w:pos="720"/>
          <w:tab w:val="left" w:pos="-142" w:leader="none"/>
        </w:tabs>
        <w:spacing w:lineRule="auto" w:line="319"/>
        <w:ind w:hanging="720" w:left="360" w:right="14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A CONCESSIONÁRIA deverá manter os recursos adequados para prover primeiros socorros aos usuários, para ocorrências dentro da CONCESSÃO, e garantir, junto aos órgãos competentes, sua adequada remoção emergencial para atendimento em hospitais ou postos de saúde situados no MUNICÍPIO, obedecendo a legislação e normas vigentes.</w:t>
      </w:r>
    </w:p>
    <w:p>
      <w:pPr>
        <w:pStyle w:val="Normal"/>
        <w:widowControl/>
        <w:pBdr/>
        <w:tabs>
          <w:tab w:val="clear" w:pos="720"/>
          <w:tab w:val="left" w:pos="-142" w:leader="none"/>
        </w:tabs>
        <w:spacing w:lineRule="auto" w:line="319"/>
        <w:ind w:hanging="720" w:left="360" w:right="140"/>
        <w:jc w:val="both"/>
        <w:textAlignment w:val="auto"/>
        <w:rPr>
          <w:rFonts w:ascii="Times New Roman" w:hAnsi="Times New Roman" w:eastAsia="Times New Roman" w:cs="Times New Roman"/>
          <w:color w:val="000000"/>
          <w:kern w:val="0"/>
          <w:lang w:eastAsia="pt-BR" w:bidi="ar-SA"/>
        </w:rPr>
      </w:pPr>
      <w:r>
        <w:rPr>
          <w:rFonts w:eastAsia="Times New Roman" w:cs="Times New Roman" w:ascii="Times New Roman" w:hAnsi="Times New Roman"/>
          <w:color w:val="000000"/>
          <w:kern w:val="0"/>
          <w:lang w:eastAsia="pt-BR" w:bidi="ar-SA"/>
        </w:rPr>
      </w:r>
    </w:p>
    <w:p>
      <w:pPr>
        <w:pStyle w:val="Normal"/>
        <w:widowControl/>
        <w:numPr>
          <w:ilvl w:val="2"/>
          <w:numId w:val="8"/>
        </w:numPr>
        <w:pBdr/>
        <w:spacing w:lineRule="auto" w:line="319"/>
        <w:jc w:val="both"/>
        <w:textAlignment w:val="auto"/>
        <w:rPr>
          <w:rFonts w:ascii="Times New Roman" w:hAnsi="Times New Roman" w:eastAsia="Times New Roman" w:cs="Times New Roman"/>
          <w:color w:val="00000A"/>
          <w:kern w:val="0"/>
          <w:lang w:eastAsia="pt-BR" w:bidi="ar-SA"/>
        </w:rPr>
      </w:pPr>
      <w:r>
        <w:rPr>
          <w:rFonts w:eastAsia="Times New Roman" w:cs="Times New Roman" w:ascii="Times New Roman" w:hAnsi="Times New Roman"/>
          <w:color w:val="00000A"/>
          <w:kern w:val="0"/>
          <w:lang w:eastAsia="pt-BR" w:bidi="ar-SA"/>
        </w:rPr>
        <w:t xml:space="preserve">Em casos de ocorrências que coloquem em risco a integridade física de usuários e funcionários, o atendimento deverá ser realizado de forma imediata, com o adequado isolamento da área. </w:t>
      </w:r>
    </w:p>
    <w:sectPr>
      <w:headerReference w:type="even" r:id="rId2"/>
      <w:headerReference w:type="default" r:id="rId3"/>
      <w:headerReference w:type="first" r:id="rId4"/>
      <w:type w:val="nextPage"/>
      <w:pgSz w:w="11906" w:h="16838"/>
      <w:pgMar w:left="1134" w:right="1134" w:gutter="0" w:header="720" w:top="1134" w:footer="0" w:bottom="72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swiss"/>
    <w:pitch w:val="variable"/>
  </w:font>
  <w:font w:name="Liberation Sans">
    <w:altName w:val="Arial"/>
    <w:charset w:val="00"/>
    <w:family w:val="swiss"/>
    <w:pitch w:val="variable"/>
  </w:font>
  <w:font w:name="Times">
    <w:altName w:val="Times New Roman"/>
    <w:charset w:val="00"/>
    <w:family w:val="roman"/>
    <w:pitch w:val="variable"/>
  </w:font>
  <w:font w:name="Forte">
    <w:charset w:val="00"/>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720" w:hanging="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3">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576" w:hanging="576"/>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4">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rPr>
        <w:b w:val="false"/>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lowerLetter"/>
      <w:lvlText w:val="%6)"/>
      <w:lvlJc w:val="left"/>
      <w:pPr>
        <w:tabs>
          <w:tab w:val="num" w:pos="0"/>
        </w:tabs>
        <w:ind w:left="2160" w:hanging="360"/>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6">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7">
    <w:lvl w:ilvl="0">
      <w:start w:val="1"/>
      <w:numFmt w:val="lowerLetter"/>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3"/>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color w:val="000000"/>
      </w:r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rPr>
        <w:b w:val="false"/>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lowerLetter"/>
      <w:lvlText w:val="%6)"/>
      <w:lvlJc w:val="left"/>
      <w:pPr>
        <w:tabs>
          <w:tab w:val="num" w:pos="0"/>
        </w:tabs>
        <w:ind w:left="2160" w:hanging="360"/>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10">
    <w:lvl w:ilvl="0">
      <w:start w:val="1"/>
      <w:numFmt w:val="lowerLetter"/>
      <w:lvlText w:val="%1)"/>
      <w:lvlJc w:val="left"/>
      <w:pPr>
        <w:tabs>
          <w:tab w:val="num" w:pos="0"/>
        </w:tabs>
        <w:ind w:left="1003" w:hanging="720"/>
      </w:pPr>
      <w:rPr/>
    </w:lvl>
    <w:lvl w:ilvl="1">
      <w:start w:val="1"/>
      <w:numFmt w:val="lowerLetter"/>
      <w:lvlText w:val="%2."/>
      <w:lvlJc w:val="left"/>
      <w:pPr>
        <w:tabs>
          <w:tab w:val="num" w:pos="0"/>
        </w:tabs>
        <w:ind w:left="1363" w:hanging="360"/>
      </w:pPr>
      <w:rPr/>
    </w:lvl>
    <w:lvl w:ilvl="2">
      <w:start w:val="1"/>
      <w:numFmt w:val="lowerRoman"/>
      <w:lvlText w:val="%3."/>
      <w:lvlJc w:val="right"/>
      <w:pPr>
        <w:tabs>
          <w:tab w:val="num" w:pos="0"/>
        </w:tabs>
        <w:ind w:left="2083" w:hanging="180"/>
      </w:pPr>
      <w:rPr/>
    </w:lvl>
    <w:lvl w:ilvl="3">
      <w:start w:val="1"/>
      <w:numFmt w:val="decimal"/>
      <w:lvlText w:val="%4."/>
      <w:lvlJc w:val="left"/>
      <w:pPr>
        <w:tabs>
          <w:tab w:val="num" w:pos="0"/>
        </w:tabs>
        <w:ind w:left="2803" w:hanging="360"/>
      </w:pPr>
      <w:rPr/>
    </w:lvl>
    <w:lvl w:ilvl="4">
      <w:start w:val="1"/>
      <w:numFmt w:val="lowerLetter"/>
      <w:lvlText w:val="%5."/>
      <w:lvlJc w:val="left"/>
      <w:pPr>
        <w:tabs>
          <w:tab w:val="num" w:pos="0"/>
        </w:tabs>
        <w:ind w:left="3523" w:hanging="360"/>
      </w:pPr>
      <w:rPr/>
    </w:lvl>
    <w:lvl w:ilvl="5">
      <w:start w:val="1"/>
      <w:numFmt w:val="lowerRoman"/>
      <w:lvlText w:val="%6."/>
      <w:lvlJc w:val="right"/>
      <w:pPr>
        <w:tabs>
          <w:tab w:val="num" w:pos="0"/>
        </w:tabs>
        <w:ind w:left="4243" w:hanging="180"/>
      </w:pPr>
      <w:rPr/>
    </w:lvl>
    <w:lvl w:ilvl="6">
      <w:start w:val="1"/>
      <w:numFmt w:val="decimal"/>
      <w:lvlText w:val="%7."/>
      <w:lvlJc w:val="left"/>
      <w:pPr>
        <w:tabs>
          <w:tab w:val="num" w:pos="0"/>
        </w:tabs>
        <w:ind w:left="4963" w:hanging="360"/>
      </w:pPr>
      <w:rPr/>
    </w:lvl>
    <w:lvl w:ilvl="7">
      <w:start w:val="1"/>
      <w:numFmt w:val="lowerLetter"/>
      <w:lvlText w:val="%8."/>
      <w:lvlJc w:val="left"/>
      <w:pPr>
        <w:tabs>
          <w:tab w:val="num" w:pos="0"/>
        </w:tabs>
        <w:ind w:left="5683" w:hanging="360"/>
      </w:pPr>
      <w:rPr/>
    </w:lvl>
    <w:lvl w:ilvl="8">
      <w:start w:val="1"/>
      <w:numFmt w:val="lowerRoman"/>
      <w:lvlText w:val="%9."/>
      <w:lvlJc w:val="right"/>
      <w:pPr>
        <w:tabs>
          <w:tab w:val="num" w:pos="0"/>
        </w:tabs>
        <w:ind w:left="6403" w:hanging="180"/>
      </w:pPr>
      <w:rPr/>
    </w:lvl>
  </w:abstractNum>
  <w:abstractNum w:abstractNumId="11">
    <w:lvl w:ilvl="0">
      <w:start w:val="1"/>
      <w:numFmt w:val="lowerLetter"/>
      <w:lvlText w:val="(%1)"/>
      <w:lvlJc w:val="left"/>
      <w:pPr>
        <w:tabs>
          <w:tab w:val="num" w:pos="0"/>
        </w:tabs>
        <w:ind w:left="643" w:hanging="360"/>
      </w:pPr>
      <w:rPr/>
    </w:lvl>
    <w:lvl w:ilvl="1">
      <w:start w:val="1"/>
      <w:numFmt w:val="lowerLetter"/>
      <w:lvlText w:val="%2."/>
      <w:lvlJc w:val="left"/>
      <w:pPr>
        <w:tabs>
          <w:tab w:val="num" w:pos="0"/>
        </w:tabs>
        <w:ind w:left="1363" w:hanging="360"/>
      </w:pPr>
      <w:rPr/>
    </w:lvl>
    <w:lvl w:ilvl="2">
      <w:start w:val="1"/>
      <w:numFmt w:val="lowerRoman"/>
      <w:lvlText w:val="%3."/>
      <w:lvlJc w:val="right"/>
      <w:pPr>
        <w:tabs>
          <w:tab w:val="num" w:pos="0"/>
        </w:tabs>
        <w:ind w:left="2083" w:hanging="180"/>
      </w:pPr>
      <w:rPr/>
    </w:lvl>
    <w:lvl w:ilvl="3">
      <w:start w:val="1"/>
      <w:numFmt w:val="decimal"/>
      <w:lvlText w:val="%4."/>
      <w:lvlJc w:val="left"/>
      <w:pPr>
        <w:tabs>
          <w:tab w:val="num" w:pos="0"/>
        </w:tabs>
        <w:ind w:left="2803" w:hanging="360"/>
      </w:pPr>
      <w:rPr/>
    </w:lvl>
    <w:lvl w:ilvl="4">
      <w:start w:val="1"/>
      <w:numFmt w:val="lowerLetter"/>
      <w:lvlText w:val="%5."/>
      <w:lvlJc w:val="left"/>
      <w:pPr>
        <w:tabs>
          <w:tab w:val="num" w:pos="0"/>
        </w:tabs>
        <w:ind w:left="3523" w:hanging="360"/>
      </w:pPr>
      <w:rPr/>
    </w:lvl>
    <w:lvl w:ilvl="5">
      <w:start w:val="1"/>
      <w:numFmt w:val="lowerRoman"/>
      <w:lvlText w:val="%6."/>
      <w:lvlJc w:val="right"/>
      <w:pPr>
        <w:tabs>
          <w:tab w:val="num" w:pos="0"/>
        </w:tabs>
        <w:ind w:left="4243" w:hanging="180"/>
      </w:pPr>
      <w:rPr/>
    </w:lvl>
    <w:lvl w:ilvl="6">
      <w:start w:val="1"/>
      <w:numFmt w:val="decimal"/>
      <w:lvlText w:val="%7."/>
      <w:lvlJc w:val="left"/>
      <w:pPr>
        <w:tabs>
          <w:tab w:val="num" w:pos="0"/>
        </w:tabs>
        <w:ind w:left="4963" w:hanging="360"/>
      </w:pPr>
      <w:rPr/>
    </w:lvl>
    <w:lvl w:ilvl="7">
      <w:start w:val="1"/>
      <w:numFmt w:val="lowerLetter"/>
      <w:lvlText w:val="%8."/>
      <w:lvlJc w:val="left"/>
      <w:pPr>
        <w:tabs>
          <w:tab w:val="num" w:pos="0"/>
        </w:tabs>
        <w:ind w:left="5683" w:hanging="360"/>
      </w:pPr>
      <w:rPr/>
    </w:lvl>
    <w:lvl w:ilvl="8">
      <w:start w:val="1"/>
      <w:numFmt w:val="lowerRoman"/>
      <w:lvlText w:val="%9."/>
      <w:lvlJc w:val="right"/>
      <w:pPr>
        <w:tabs>
          <w:tab w:val="num" w:pos="0"/>
        </w:tabs>
        <w:ind w:left="6403" w:hanging="18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5"/>
    <w:lvlOverride w:ilvl="0">
      <w:startOverride w:val="1"/>
    </w:lvlOverride>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5"/>
  </w:num>
  <w:num w:numId="61">
    <w:abstractNumId w:val="5"/>
  </w:num>
  <w:num w:numId="62">
    <w:abstractNumId w:val="5"/>
  </w:num>
  <w:num w:numId="63">
    <w:abstractNumId w:val="5"/>
  </w:num>
  <w:num w:numId="64">
    <w:abstractNumId w:val="5"/>
  </w:num>
  <w:num w:numId="65">
    <w:abstractNumId w:val="5"/>
  </w:num>
  <w:num w:numId="66">
    <w:abstractNumId w:val="5"/>
  </w:num>
  <w:num w:numId="67">
    <w:abstractNumId w:val="5"/>
  </w:num>
  <w:num w:numId="68">
    <w:abstractNumId w:val="5"/>
  </w:num>
  <w:num w:numId="69">
    <w:abstractNumId w:val="5"/>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num>
  <w:num w:numId="78">
    <w:abstractNumId w:val="5"/>
  </w:num>
  <w:num w:numId="79">
    <w:abstractNumId w:val="5"/>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num>
  <w:num w:numId="87">
    <w:abstractNumId w:val="5"/>
  </w:num>
  <w:num w:numId="88">
    <w:abstractNumId w:val="5"/>
  </w:num>
  <w:num w:numId="89">
    <w:abstractNumId w:val="5"/>
  </w:num>
  <w:num w:numId="90">
    <w:abstractNumId w:val="5"/>
  </w:num>
  <w:num w:numId="91">
    <w:abstractNumId w:val="5"/>
  </w:num>
  <w:num w:numId="92">
    <w:abstractNumId w:val="5"/>
  </w:num>
  <w:num w:numId="93">
    <w:abstractNumId w:val="5"/>
  </w:num>
  <w:num w:numId="94">
    <w:abstractNumId w:val="5"/>
  </w:num>
  <w:num w:numId="95">
    <w:abstractNumId w:val="5"/>
  </w:num>
  <w:num w:numId="96">
    <w:abstractNumId w:val="5"/>
  </w:num>
  <w:num w:numId="97">
    <w:abstractNumId w:val="5"/>
  </w:num>
  <w:num w:numId="98">
    <w:abstractNumId w:val="5"/>
  </w:num>
  <w:num w:numId="99">
    <w:abstractNumId w:val="5"/>
  </w:num>
  <w:num w:numId="100">
    <w:abstractNumId w:val="5"/>
  </w:num>
  <w:num w:numId="101">
    <w:abstractNumId w:val="5"/>
  </w:num>
  <w:num w:numId="102">
    <w:abstractNumId w:val="5"/>
  </w:num>
  <w:num w:numId="103">
    <w:abstractNumId w:val="5"/>
  </w:num>
  <w:num w:numId="104">
    <w:abstractNumId w:val="5"/>
  </w:num>
  <w:num w:numId="105">
    <w:abstractNumId w:val="5"/>
  </w:num>
  <w:num w:numId="106">
    <w:abstractNumId w:val="5"/>
  </w:num>
  <w:num w:numId="107">
    <w:abstractNumId w:val="5"/>
  </w:num>
  <w:num w:numId="108">
    <w:abstractNumId w:val="5"/>
  </w:num>
  <w:num w:numId="109">
    <w:abstractNumId w:val="5"/>
  </w:num>
  <w:num w:numId="110">
    <w:abstractNumId w:val="5"/>
  </w:num>
  <w:num w:numId="111">
    <w:abstractNumId w:val="5"/>
  </w:num>
  <w:num w:numId="112">
    <w:abstractNumId w:val="5"/>
  </w:num>
  <w:num w:numId="113">
    <w:abstractNumId w:val="5"/>
  </w:num>
  <w:num w:numId="114">
    <w:abstractNumId w:val="5"/>
  </w:num>
  <w:num w:numId="115">
    <w:abstractNumId w:val="5"/>
  </w:num>
  <w:num w:numId="116">
    <w:abstractNumId w:val="5"/>
  </w:num>
  <w:num w:numId="117">
    <w:abstractNumId w:val="5"/>
  </w:num>
  <w:num w:numId="118">
    <w:abstractNumId w:val="5"/>
  </w:num>
  <w:num w:numId="119">
    <w:abstractNumId w:val="5"/>
  </w:num>
  <w:num w:numId="120">
    <w:abstractNumId w:val="5"/>
  </w:num>
  <w:num w:numId="121">
    <w:abstractNumId w:val="5"/>
  </w:num>
  <w:num w:numId="122">
    <w:abstractNumId w:val="5"/>
  </w:num>
  <w:num w:numId="123">
    <w:abstractNumId w:val="5"/>
  </w:num>
  <w:num w:numId="124">
    <w:abstractNumId w:val="5"/>
  </w:num>
  <w:num w:numId="125">
    <w:abstractNumId w:val="5"/>
  </w:num>
  <w:num w:numId="126">
    <w:abstractNumId w:val="5"/>
  </w:num>
  <w:num w:numId="127">
    <w:abstractNumId w:val="5"/>
  </w:num>
  <w:num w:numId="128">
    <w:abstractNumId w:val="5"/>
  </w:num>
  <w:num w:numId="129">
    <w:abstractNumId w:val="5"/>
  </w:num>
  <w:num w:numId="130">
    <w:abstractNumId w:val="5"/>
  </w:num>
  <w:num w:numId="131">
    <w:abstractNumId w:val="5"/>
  </w:num>
  <w:num w:numId="132">
    <w:abstractNumId w:val="5"/>
  </w:num>
  <w:num w:numId="133">
    <w:abstractNumId w:val="5"/>
  </w:num>
  <w:num w:numId="134">
    <w:abstractNumId w:val="5"/>
  </w:num>
  <w:num w:numId="135">
    <w:abstractNumId w:val="5"/>
  </w:num>
  <w:num w:numId="136">
    <w:abstractNumId w:val="5"/>
  </w:num>
  <w:num w:numId="137">
    <w:abstractNumId w:val="5"/>
  </w:num>
  <w:num w:numId="138">
    <w:abstractNumId w:val="5"/>
  </w:num>
  <w:num w:numId="139">
    <w:abstractNumId w:val="5"/>
  </w:num>
  <w:num w:numId="140">
    <w:abstractNumId w:val="5"/>
  </w:num>
  <w:num w:numId="141">
    <w:abstractNumId w:val="5"/>
  </w:num>
  <w:num w:numId="142">
    <w:abstractNumId w:val="5"/>
  </w:num>
  <w:num w:numId="143">
    <w:abstractNumId w:val="5"/>
  </w:num>
  <w:num w:numId="144">
    <w:abstractNumId w:val="5"/>
  </w:num>
  <w:num w:numId="145">
    <w:abstractNumId w:val="5"/>
  </w:num>
  <w:num w:numId="146">
    <w:abstractNumId w:val="5"/>
  </w:num>
  <w:num w:numId="147">
    <w:abstractNumId w:val="5"/>
  </w:num>
  <w:num w:numId="148">
    <w:abstractNumId w:val="5"/>
  </w:num>
  <w:num w:numId="149">
    <w:abstractNumId w:val="5"/>
  </w:num>
  <w:num w:numId="150">
    <w:abstractNumId w:val="5"/>
  </w:num>
  <w:num w:numId="151">
    <w:abstractNumId w:val="5"/>
  </w:num>
  <w:num w:numId="152">
    <w:abstractNumId w:val="5"/>
  </w:num>
  <w:num w:numId="153">
    <w:abstractNumId w:val="5"/>
  </w:num>
  <w:num w:numId="154">
    <w:abstractNumId w:val="5"/>
  </w:num>
  <w:num w:numId="155">
    <w:abstractNumId w:val="5"/>
  </w:num>
  <w:num w:numId="156">
    <w:abstractNumId w:val="5"/>
  </w:num>
  <w:num w:numId="157">
    <w:abstractNumId w:val="5"/>
  </w:num>
  <w:num w:numId="158">
    <w:abstractNumId w:val="5"/>
  </w:num>
  <w:num w:numId="159">
    <w:abstractNumId w:val="5"/>
  </w:num>
  <w:num w:numId="160">
    <w:abstractNumId w:val="5"/>
  </w:num>
  <w:num w:numId="161">
    <w:abstractNumId w:val="5"/>
  </w:num>
  <w:num w:numId="162">
    <w:abstractNumId w:val="5"/>
  </w:num>
  <w:num w:numId="163">
    <w:abstractNumId w:val="5"/>
  </w:num>
  <w:num w:numId="164">
    <w:abstractNumId w:val="5"/>
  </w:num>
  <w:num w:numId="165">
    <w:abstractNumId w:val="5"/>
  </w:num>
  <w:num w:numId="166">
    <w:abstractNumId w:val="5"/>
  </w:num>
  <w:num w:numId="167">
    <w:abstractNumId w:val="5"/>
  </w:num>
  <w:num w:numId="168">
    <w:abstractNumId w:val="5"/>
  </w:num>
  <w:num w:numId="169">
    <w:abstractNumId w:val="5"/>
  </w:num>
  <w:num w:numId="170">
    <w:abstractNumId w:val="5"/>
  </w:num>
  <w:num w:numId="171">
    <w:abstractNumId w:val="5"/>
  </w:num>
  <w:num w:numId="172">
    <w:abstractNumId w:val="5"/>
  </w:num>
  <w:num w:numId="173">
    <w:abstractNumId w:val="5"/>
  </w:num>
  <w:num w:numId="174">
    <w:abstractNumId w:val="5"/>
  </w:num>
  <w:num w:numId="175">
    <w:abstractNumId w:val="5"/>
  </w:num>
  <w:num w:numId="176">
    <w:abstractNumId w:val="5"/>
  </w:num>
  <w:num w:numId="177">
    <w:abstractNumId w:val="5"/>
  </w:num>
  <w:num w:numId="178">
    <w:abstractNumId w:val="5"/>
  </w:num>
  <w:num w:numId="179">
    <w:abstractNumId w:val="5"/>
  </w:num>
  <w:num w:numId="180">
    <w:abstractNumId w:val="5"/>
  </w:num>
  <w:num w:numId="181">
    <w:abstractNumId w:val="5"/>
  </w:num>
  <w:num w:numId="182">
    <w:abstractNumId w:val="5"/>
  </w:num>
  <w:num w:numId="183">
    <w:abstractNumId w:val="5"/>
  </w:num>
  <w:num w:numId="184">
    <w:abstractNumId w:val="5"/>
  </w:num>
  <w:num w:numId="185">
    <w:abstractNumId w:val="5"/>
  </w:num>
  <w:num w:numId="186">
    <w:abstractNumId w:val="5"/>
  </w:num>
  <w:num w:numId="187">
    <w:abstractNumId w:val="5"/>
  </w:num>
  <w:num w:numId="188">
    <w:abstractNumId w:val="5"/>
  </w:num>
  <w:num w:numId="189">
    <w:abstractNumId w:val="5"/>
  </w:num>
  <w:num w:numId="190">
    <w:abstractNumId w:val="5"/>
  </w:num>
  <w:num w:numId="191">
    <w:abstractNumId w:val="5"/>
  </w:num>
  <w:num w:numId="192">
    <w:abstractNumId w:val="5"/>
  </w:num>
  <w:num w:numId="193">
    <w:abstractNumId w:val="5"/>
  </w:num>
  <w:num w:numId="194">
    <w:abstractNumId w:val="5"/>
  </w:num>
  <w:num w:numId="195">
    <w:abstractNumId w:val="5"/>
  </w:num>
  <w:num w:numId="196">
    <w:abstractNumId w:val="5"/>
  </w:num>
  <w:num w:numId="197">
    <w:abstractNumId w:val="5"/>
  </w:num>
  <w:num w:numId="198">
    <w:abstractNumId w:val="5"/>
  </w:num>
  <w:num w:numId="199">
    <w:abstractNumId w:val="5"/>
  </w:num>
  <w:num w:numId="200">
    <w:abstractNumId w:val="5"/>
  </w:num>
  <w:num w:numId="201">
    <w:abstractNumId w:val="5"/>
  </w:num>
  <w:num w:numId="202">
    <w:abstractNumId w:val="5"/>
  </w:num>
  <w:num w:numId="203">
    <w:abstractNumId w:val="5"/>
  </w:num>
  <w:num w:numId="204">
    <w:abstractNumId w:val="5"/>
  </w:num>
  <w:num w:numId="205">
    <w:abstractNumId w:val="5"/>
  </w:num>
  <w:num w:numId="206">
    <w:abstractNumId w:val="5"/>
  </w:num>
  <w:num w:numId="207">
    <w:abstractNumId w:val="5"/>
  </w:num>
  <w:num w:numId="208">
    <w:abstractNumId w:val="5"/>
  </w:num>
  <w:num w:numId="209">
    <w:abstractNumId w:val="5"/>
  </w:num>
  <w:num w:numId="210">
    <w:abstractNumId w:val="5"/>
  </w:num>
  <w:num w:numId="211">
    <w:abstractNumId w:val="5"/>
  </w:num>
  <w:num w:numId="212">
    <w:abstractNumId w:val="5"/>
  </w:num>
  <w:num w:numId="213">
    <w:abstractNumId w:val="5"/>
  </w:num>
  <w:num w:numId="214">
    <w:abstractNumId w:val="5"/>
  </w:num>
  <w:num w:numId="215">
    <w:abstractNumId w:val="5"/>
  </w:num>
  <w:num w:numId="216">
    <w:abstractNumId w:val="5"/>
  </w:num>
  <w:num w:numId="217">
    <w:abstractNumId w:val="5"/>
  </w:num>
  <w:num w:numId="218">
    <w:abstractNumId w:val="5"/>
  </w:num>
  <w:num w:numId="219">
    <w:abstractNumId w:val="5"/>
  </w:num>
  <w:num w:numId="220">
    <w:abstractNumId w:val="5"/>
  </w:num>
  <w:num w:numId="221">
    <w:abstractNumId w:val="5"/>
  </w:num>
  <w:num w:numId="222">
    <w:abstractNumId w:val="5"/>
  </w:num>
  <w:num w:numId="223">
    <w:abstractNumId w:val="5"/>
  </w:num>
  <w:num w:numId="224">
    <w:abstractNumId w:val="5"/>
  </w:num>
  <w:num w:numId="225">
    <w:abstractNumId w:val="5"/>
  </w:num>
  <w:num w:numId="226">
    <w:abstractNumId w:val="5"/>
  </w:num>
  <w:num w:numId="227">
    <w:abstractNumId w:val="5"/>
  </w:num>
  <w:num w:numId="228">
    <w:abstractNumId w:val="5"/>
  </w:num>
  <w:num w:numId="229">
    <w:abstractNumId w:val="5"/>
  </w:num>
  <w:num w:numId="230">
    <w:abstractNumId w:val="5"/>
  </w:num>
  <w:num w:numId="231">
    <w:abstractNumId w:val="5"/>
  </w:num>
  <w:num w:numId="232">
    <w:abstractNumId w:val="5"/>
  </w:num>
  <w:num w:numId="233">
    <w:abstractNumId w:val="5"/>
  </w:num>
  <w:num w:numId="234">
    <w:abstractNumId w:val="5"/>
  </w:num>
  <w:num w:numId="235">
    <w:abstractNumId w:val="5"/>
  </w:num>
  <w:num w:numId="236">
    <w:abstractNumId w:val="5"/>
  </w:num>
  <w:num w:numId="237">
    <w:abstractNumId w:val="5"/>
  </w:num>
  <w:num w:numId="238">
    <w:abstractNumId w:val="5"/>
  </w:num>
  <w:num w:numId="239">
    <w:abstractNumId w:val="5"/>
  </w:num>
  <w:num w:numId="240">
    <w:abstractNumId w:val="5"/>
  </w:num>
  <w:num w:numId="241">
    <w:abstractNumId w:val="5"/>
  </w:num>
  <w:num w:numId="242">
    <w:abstractNumId w:val="5"/>
  </w:num>
  <w:num w:numId="243">
    <w:abstractNumId w:val="5"/>
  </w:num>
  <w:num w:numId="244">
    <w:abstractNumId w:val="5"/>
  </w:num>
  <w:num w:numId="245">
    <w:abstractNumId w:val="5"/>
  </w:num>
  <w:num w:numId="246">
    <w:abstractNumId w:val="5"/>
  </w:num>
  <w:num w:numId="247">
    <w:abstractNumId w:val="5"/>
  </w:num>
  <w:num w:numId="248">
    <w:abstractNumId w:val="5"/>
  </w:num>
  <w:num w:numId="249">
    <w:abstractNumId w:val="5"/>
  </w:num>
  <w:num w:numId="250">
    <w:abstractNumId w:val="5"/>
  </w:num>
  <w:num w:numId="251">
    <w:abstractNumId w:val="5"/>
  </w:num>
  <w:num w:numId="252">
    <w:abstractNumId w:val="5"/>
  </w:num>
  <w:num w:numId="253">
    <w:abstractNumId w:val="5"/>
  </w:num>
  <w:num w:numId="254">
    <w:abstractNumId w:val="5"/>
  </w:num>
  <w:num w:numId="255">
    <w:abstractNumId w:val="5"/>
  </w:num>
  <w:num w:numId="256">
    <w:abstractNumId w:val="5"/>
  </w:num>
  <w:num w:numId="257">
    <w:abstractNumId w:val="5"/>
  </w:num>
  <w:num w:numId="258">
    <w:abstractNumId w:val="5"/>
  </w:num>
  <w:num w:numId="259">
    <w:abstractNumId w:val="5"/>
  </w:num>
  <w:num w:numId="260">
    <w:abstractNumId w:val="5"/>
  </w:num>
  <w:num w:numId="261">
    <w:abstractNumId w:val="5"/>
  </w:num>
  <w:num w:numId="262">
    <w:abstractNumId w:val="5"/>
  </w:num>
  <w:num w:numId="263">
    <w:abstractNumId w:val="5"/>
  </w:num>
  <w:num w:numId="264">
    <w:abstractNumId w:val="5"/>
  </w:num>
  <w:num w:numId="265">
    <w:abstractNumId w:val="5"/>
  </w:num>
  <w:num w:numId="266">
    <w:abstractNumId w:val="5"/>
  </w:num>
  <w:num w:numId="267">
    <w:abstractNumId w:val="5"/>
  </w:num>
  <w:num w:numId="268">
    <w:abstractNumId w:val="5"/>
  </w:num>
  <w:num w:numId="269">
    <w:abstractNumId w:val="5"/>
  </w:num>
  <w:num w:numId="270">
    <w:abstractNumId w:val="5"/>
  </w:num>
  <w:num w:numId="271">
    <w:abstractNumId w:val="5"/>
  </w:num>
  <w:num w:numId="272">
    <w:abstractNumId w:val="5"/>
  </w:num>
  <w:num w:numId="273">
    <w:abstractNumId w:val="5"/>
  </w:num>
  <w:num w:numId="274">
    <w:abstractNumId w:val="5"/>
  </w:num>
  <w:num w:numId="275">
    <w:abstractNumId w:val="5"/>
  </w:num>
  <w:num w:numId="276">
    <w:abstractNumId w:val="5"/>
  </w:num>
  <w:num w:numId="277">
    <w:abstractNumId w:val="5"/>
  </w:num>
  <w:num w:numId="278">
    <w:abstractNumId w:val="5"/>
  </w:num>
  <w:num w:numId="279">
    <w:abstractNumId w:val="5"/>
  </w:num>
  <w:num w:numId="280">
    <w:abstractNumId w:val="5"/>
  </w:num>
  <w:num w:numId="281">
    <w:abstractNumId w:val="5"/>
  </w:num>
  <w:num w:numId="282">
    <w:abstractNumId w:val="5"/>
  </w:num>
  <w:num w:numId="283">
    <w:abstractNumId w:val="5"/>
  </w:num>
  <w:num w:numId="284">
    <w:abstractNumId w:val="5"/>
  </w:num>
  <w:num w:numId="285">
    <w:abstractNumId w:val="5"/>
  </w:num>
  <w:num w:numId="286">
    <w:abstractNumId w:val="5"/>
  </w:num>
  <w:num w:numId="287">
    <w:abstractNumId w:val="5"/>
  </w:num>
  <w:num w:numId="288">
    <w:abstractNumId w:val="5"/>
  </w:num>
  <w:num w:numId="289">
    <w:abstractNumId w:val="5"/>
  </w:num>
  <w:num w:numId="290">
    <w:abstractNumId w:val="5"/>
  </w:num>
  <w:num w:numId="291">
    <w:abstractNumId w:val="5"/>
    <w:lvlOverride w:ilvl="0">
      <w:startOverride w:val="1"/>
    </w:lvlOverride>
  </w:num>
  <w:num w:numId="292">
    <w:abstractNumId w:val="5"/>
  </w:num>
  <w:num w:numId="293">
    <w:abstractNumId w:val="5"/>
  </w:num>
  <w:num w:numId="294">
    <w:abstractNumId w:val="5"/>
  </w:num>
  <w:num w:numId="295">
    <w:abstractNumId w:val="5"/>
  </w:num>
  <w:num w:numId="296">
    <w:abstractNumId w:val="5"/>
  </w:num>
  <w:num w:numId="297">
    <w:abstractNumId w:val="5"/>
  </w:num>
  <w:num w:numId="298">
    <w:abstractNumId w:val="5"/>
  </w:num>
  <w:num w:numId="299">
    <w:abstractNumId w:val="5"/>
  </w:num>
  <w:num w:numId="300">
    <w:abstractNumId w:val="5"/>
  </w:num>
  <w:num w:numId="301">
    <w:abstractNumId w:val="5"/>
  </w:num>
  <w:num w:numId="302">
    <w:abstractNumId w:val="5"/>
  </w:num>
</w:numbering>
</file>

<file path=word/settings.xml><?xml version="1.0" encoding="utf-8"?>
<w:settings xmlns:w="http://schemas.openxmlformats.org/wordprocessingml/2006/main">
  <w:zoom w:percent="12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pt-BR" w:eastAsia="zh-CN" w:bidi="hi-IN"/>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c67506"/>
    <w:pPr>
      <w:widowControl w:val="false"/>
      <w:suppressAutoHyphens w:val="true"/>
      <w:bidi w:val="0"/>
      <w:spacing w:before="0" w:after="0"/>
      <w:jc w:val="left"/>
      <w:textAlignment w:val="baseline"/>
    </w:pPr>
    <w:rPr>
      <w:rFonts w:ascii="Liberation Serif" w:hAnsi="Liberation Serif" w:eastAsia="SimSun" w:cs="Mangal"/>
      <w:color w:val="auto"/>
      <w:kern w:val="2"/>
      <w:sz w:val="24"/>
      <w:szCs w:val="24"/>
      <w:lang w:val="pt-BR" w:eastAsia="zh-CN" w:bidi="hi-IN"/>
    </w:rPr>
  </w:style>
  <w:style w:type="paragraph" w:styleId="Heading1">
    <w:name w:val="heading 1"/>
    <w:basedOn w:val="Standard"/>
    <w:next w:val="Standard"/>
    <w:link w:val="Ttulo1Char"/>
    <w:uiPriority w:val="9"/>
    <w:qFormat/>
    <w:pPr>
      <w:keepNext w:val="true"/>
      <w:tabs>
        <w:tab w:val="clear" w:pos="720"/>
        <w:tab w:val="left" w:pos="-144" w:leader="none"/>
        <w:tab w:val="left" w:pos="576" w:leader="none"/>
        <w:tab w:val="left" w:pos="1296" w:leader="none"/>
        <w:tab w:val="left" w:pos="2016" w:leader="none"/>
        <w:tab w:val="left" w:pos="2736" w:leader="none"/>
        <w:tab w:val="left" w:pos="3456" w:leader="none"/>
        <w:tab w:val="left" w:pos="4176" w:leader="none"/>
        <w:tab w:val="left" w:pos="4896" w:leader="none"/>
        <w:tab w:val="left" w:pos="5616" w:leader="none"/>
        <w:tab w:val="left" w:pos="6336" w:leader="none"/>
      </w:tabs>
      <w:jc w:val="center"/>
      <w:outlineLvl w:val="0"/>
    </w:pPr>
    <w:rPr>
      <w:b/>
      <w:sz w:val="22"/>
    </w:rPr>
  </w:style>
  <w:style w:type="paragraph" w:styleId="Heading3">
    <w:name w:val="heading 3"/>
    <w:basedOn w:val="Standard"/>
    <w:next w:val="Standard"/>
    <w:uiPriority w:val="9"/>
    <w:unhideWhenUsed/>
    <w:qFormat/>
    <w:pPr>
      <w:keepNext w:val="true"/>
      <w:spacing w:before="240" w:after="60"/>
      <w:outlineLvl w:val="2"/>
    </w:pPr>
    <w:rPr>
      <w:b/>
    </w:rPr>
  </w:style>
  <w:style w:type="paragraph" w:styleId="Heading4">
    <w:name w:val="heading 4"/>
    <w:basedOn w:val="Standard"/>
    <w:next w:val="Standard"/>
    <w:uiPriority w:val="9"/>
    <w:unhideWhenUsed/>
    <w:qFormat/>
    <w:pPr>
      <w:keepNext w:val="true"/>
      <w:spacing w:lineRule="auto" w:line="480"/>
      <w:jc w:val="center"/>
      <w:outlineLvl w:val="3"/>
    </w:pPr>
    <w:rPr>
      <w:b/>
      <w:color w:val="000000"/>
      <w:sz w:val="27"/>
    </w:rPr>
  </w:style>
  <w:style w:type="paragraph" w:styleId="Heading5">
    <w:name w:val="heading 5"/>
    <w:next w:val="Standard"/>
    <w:uiPriority w:val="9"/>
    <w:unhideWhenUsed/>
    <w:qFormat/>
    <w:pPr>
      <w:widowControl w:val="false"/>
      <w:suppressAutoHyphens w:val="true"/>
      <w:bidi w:val="0"/>
      <w:spacing w:before="0" w:after="0"/>
      <w:jc w:val="left"/>
      <w:textAlignment w:val="baseline"/>
      <w:outlineLvl w:val="4"/>
    </w:pPr>
    <w:rPr>
      <w:rFonts w:ascii="Arial" w:hAnsi="Arial" w:eastAsia="Arial" w:cs="Arial"/>
      <w:color w:val="auto"/>
      <w:kern w:val="2"/>
      <w:sz w:val="24"/>
      <w:szCs w:val="20"/>
      <w:lang w:val="en-US" w:eastAsia="en-US" w:bidi="en-US"/>
    </w:rPr>
  </w:style>
  <w:style w:type="paragraph" w:styleId="Heading9">
    <w:name w:val="heading 9"/>
    <w:basedOn w:val="Standard"/>
    <w:next w:val="Standard"/>
    <w:qFormat/>
    <w:pPr>
      <w:keepNext w:val="true"/>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outlineLvl w:val="8"/>
    </w:pPr>
    <w:rPr>
      <w:b/>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80"/>
      <w:u w:val="single"/>
    </w:rPr>
  </w:style>
  <w:style w:type="character" w:styleId="Smbolosdenumerao" w:customStyle="1">
    <w:name w:val="Símbolos de numeração"/>
    <w:qFormat/>
    <w:rPr/>
  </w:style>
  <w:style w:type="character" w:styleId="Emphasis">
    <w:name w:val="Emphasis"/>
    <w:qFormat/>
    <w:rPr>
      <w:i/>
      <w:iCs/>
    </w:rPr>
  </w:style>
  <w:style w:type="character" w:styleId="Linenumbering" w:customStyle="1">
    <w:name w:val="Line numbering"/>
    <w:qFormat/>
    <w:rPr/>
  </w:style>
  <w:style w:type="character" w:styleId="Character20style" w:customStyle="1">
    <w:name w:val="Character_20_style"/>
    <w:qFormat/>
    <w:rPr/>
  </w:style>
  <w:style w:type="character" w:styleId="StrongEmphasis" w:customStyle="1">
    <w:name w:val="Strong Emphasis"/>
    <w:qFormat/>
    <w:rPr>
      <w:b/>
      <w:bCs/>
    </w:rPr>
  </w:style>
  <w:style w:type="character" w:styleId="WW-Fontepargpadro1" w:customStyle="1">
    <w:name w:val="WW-Fonte parág. padrão1"/>
    <w:qFormat/>
    <w:rPr/>
  </w:style>
  <w:style w:type="character" w:styleId="VisitedInternetLink" w:customStyle="1">
    <w:name w:val="Visited Internet Link"/>
    <w:basedOn w:val="WW-Fontepargpadro1"/>
    <w:qFormat/>
    <w:rPr>
      <w:color w:val="800000"/>
      <w:u w:val="single"/>
    </w:rPr>
  </w:style>
  <w:style w:type="character" w:styleId="CommentReference">
    <w:name w:val="annotation reference"/>
    <w:basedOn w:val="DefaultParagraphFont"/>
    <w:qFormat/>
    <w:rPr>
      <w:sz w:val="16"/>
      <w:szCs w:val="16"/>
    </w:rPr>
  </w:style>
  <w:style w:type="character" w:styleId="TextodecomentrioChar" w:customStyle="1">
    <w:name w:val="Texto de comentário Char"/>
    <w:basedOn w:val="DefaultParagraphFont"/>
    <w:qFormat/>
    <w:rPr>
      <w:sz w:val="20"/>
      <w:szCs w:val="18"/>
    </w:rPr>
  </w:style>
  <w:style w:type="character" w:styleId="AssuntodocomentrioChar" w:customStyle="1">
    <w:name w:val="Assunto do comentário Char"/>
    <w:basedOn w:val="TextodecomentrioChar"/>
    <w:qFormat/>
    <w:rPr>
      <w:b/>
      <w:bCs/>
      <w:sz w:val="20"/>
      <w:szCs w:val="18"/>
    </w:rPr>
  </w:style>
  <w:style w:type="character" w:styleId="TextodebaloChar" w:customStyle="1">
    <w:name w:val="Texto de balão Char"/>
    <w:basedOn w:val="DefaultParagraphFont"/>
    <w:qFormat/>
    <w:rPr>
      <w:rFonts w:ascii="Segoe UI" w:hAnsi="Segoe UI"/>
      <w:sz w:val="18"/>
      <w:szCs w:val="16"/>
    </w:rPr>
  </w:style>
  <w:style w:type="character" w:styleId="PargrafodaListaChar" w:customStyle="1">
    <w:name w:val="Parágrafo da Lista Char"/>
    <w:qFormat/>
    <w:rPr/>
  </w:style>
  <w:style w:type="character" w:styleId="Ttulo1Char" w:customStyle="1">
    <w:name w:val="Título 1 Char"/>
    <w:basedOn w:val="DefaultParagraphFont"/>
    <w:uiPriority w:val="9"/>
    <w:qFormat/>
    <w:rsid w:val="00780870"/>
    <w:rPr>
      <w:b/>
      <w:sz w:val="22"/>
    </w:rPr>
  </w:style>
  <w:style w:type="paragraph" w:styleId="Ttulo" w:customStyle="1">
    <w:name w:val="Título"/>
    <w:basedOn w:val="Standard"/>
    <w:next w:val="Textbody"/>
    <w:qFormat/>
    <w:pPr>
      <w:keepNext w:val="true"/>
      <w:spacing w:before="240" w:after="120"/>
    </w:pPr>
    <w:rPr>
      <w:rFonts w:ascii="Liberation Sans" w:hAnsi="Liberation Sans" w:eastAsia="Microsoft YaHei" w:cs="Liberation San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Standard"/>
    <w:qFormat/>
    <w:pPr>
      <w:suppressLineNumbers/>
      <w:spacing w:before="120" w:after="120"/>
    </w:pPr>
    <w:rPr>
      <w:i/>
      <w:iCs/>
    </w:rPr>
  </w:style>
  <w:style w:type="paragraph" w:styleId="ndice" w:customStyle="1">
    <w:name w:val="Índice"/>
    <w:basedOn w:val="Standard"/>
    <w:qFormat/>
    <w:pPr>
      <w:suppressLineNumbers/>
    </w:pPr>
    <w:rPr/>
  </w:style>
  <w:style w:type="paragraph" w:styleId="Nivel01" w:customStyle="1">
    <w:name w:val="Nivel 01"/>
    <w:basedOn w:val="Heading1"/>
    <w:next w:val="Standard"/>
    <w:qFormat/>
    <w:pPr>
      <w:tabs>
        <w:tab w:val="clear" w:pos="-144"/>
        <w:tab w:val="clear" w:pos="576"/>
        <w:tab w:val="clear" w:pos="1296"/>
        <w:tab w:val="clear" w:pos="2016"/>
        <w:tab w:val="clear" w:pos="2736"/>
        <w:tab w:val="clear" w:pos="3456"/>
        <w:tab w:val="clear" w:pos="4176"/>
        <w:tab w:val="clear" w:pos="4896"/>
        <w:tab w:val="clear" w:pos="5616"/>
        <w:tab w:val="clear" w:pos="6336"/>
        <w:tab w:val="left" w:pos="135" w:leader="none"/>
      </w:tabs>
      <w:spacing w:before="240" w:after="120"/>
      <w:jc w:val="both"/>
    </w:pPr>
    <w:rPr>
      <w:rFonts w:ascii="Arial" w:hAnsi="Arial" w:eastAsia="Arial" w:cs="Arial"/>
      <w:color w:val="00000A"/>
      <w:sz w:val="20"/>
      <w:szCs w:val="20"/>
    </w:rPr>
  </w:style>
  <w:style w:type="paragraph" w:styleId="Nvel1-SemNum" w:customStyle="1">
    <w:name w:val="Nível 1-Sem Num"/>
    <w:basedOn w:val="Nivel01"/>
    <w:qFormat/>
    <w:pPr>
      <w:outlineLvl w:val="1"/>
    </w:pPr>
    <w:rPr>
      <w:color w:val="FF0000"/>
    </w:rPr>
  </w:style>
  <w:style w:type="paragraph" w:styleId="Standard" w:customStyle="1">
    <w:name w:val="Standard"/>
    <w:qFormat/>
    <w:pPr>
      <w:widowControl w:val="false"/>
      <w:suppressAutoHyphens w:val="true"/>
      <w:bidi w:val="0"/>
      <w:spacing w:before="0" w:after="0"/>
      <w:jc w:val="left"/>
      <w:textAlignment w:val="baseline"/>
    </w:pPr>
    <w:rPr>
      <w:rFonts w:ascii="Liberation Serif" w:hAnsi="Liberation Serif" w:eastAsia="SimSun" w:cs="Mangal"/>
      <w:color w:val="auto"/>
      <w:kern w:val="2"/>
      <w:sz w:val="24"/>
      <w:szCs w:val="24"/>
      <w:lang w:val="pt-BR" w:eastAsia="zh-CN" w:bidi="hi-IN"/>
    </w:rPr>
  </w:style>
  <w:style w:type="paragraph" w:styleId="Textbody" w:customStyle="1">
    <w:name w:val="Text body"/>
    <w:basedOn w:val="Standard"/>
    <w:qFormat/>
    <w:pPr>
      <w:spacing w:lineRule="auto" w:line="288" w:before="0" w:after="140"/>
    </w:pPr>
    <w:rPr/>
  </w:style>
  <w:style w:type="paragraph" w:styleId="Contedodatabela" w:customStyle="1">
    <w:name w:val="Conteúdo da tabela"/>
    <w:basedOn w:val="Standard"/>
    <w:qFormat/>
    <w:pPr/>
    <w:rPr/>
  </w:style>
  <w:style w:type="paragraph" w:styleId="Default" w:customStyle="1">
    <w:name w:val="Default"/>
    <w:qFormat/>
    <w:pPr>
      <w:widowControl w:val="false"/>
      <w:suppressAutoHyphens w:val="true"/>
      <w:bidi w:val="0"/>
      <w:spacing w:before="0" w:after="0"/>
      <w:jc w:val="left"/>
      <w:textAlignment w:val="baseline"/>
    </w:pPr>
    <w:rPr>
      <w:rFonts w:ascii="Times New Roman" w:hAnsi="Times New Roman" w:eastAsia="Times New Roman" w:cs="Times New Roman"/>
      <w:color w:val="000000"/>
      <w:kern w:val="2"/>
      <w:sz w:val="24"/>
      <w:szCs w:val="24"/>
      <w:lang w:val="pt-BR" w:eastAsia="zh-CN" w:bidi="hi-IN"/>
    </w:rPr>
  </w:style>
  <w:style w:type="paragraph" w:styleId="Nivel3" w:customStyle="1">
    <w:name w:val="Nivel 3"/>
    <w:basedOn w:val="Standard"/>
    <w:qFormat/>
    <w:pPr>
      <w:spacing w:lineRule="auto" w:line="276" w:before="120" w:after="120"/>
      <w:jc w:val="both"/>
    </w:pPr>
    <w:rPr>
      <w:rFonts w:ascii="Arial" w:hAnsi="Arial" w:eastAsia="Arial" w:cs="Arial"/>
      <w:color w:val="000000"/>
      <w:sz w:val="20"/>
      <w:szCs w:val="20"/>
    </w:rPr>
  </w:style>
  <w:style w:type="paragraph" w:styleId="Nvel3-R" w:customStyle="1">
    <w:name w:val="Nível 3-R"/>
    <w:basedOn w:val="Nivel3"/>
    <w:qFormat/>
    <w:pPr>
      <w:numPr>
        <w:ilvl w:val="0"/>
        <w:numId w:val="1"/>
      </w:numPr>
    </w:pPr>
    <w:rPr>
      <w:i/>
      <w:iCs/>
      <w:color w:val="FF0000"/>
    </w:rPr>
  </w:style>
  <w:style w:type="paragraph" w:styleId="Nivel2" w:customStyle="1">
    <w:name w:val="Nivel 2"/>
    <w:basedOn w:val="Standard"/>
    <w:qFormat/>
    <w:pPr>
      <w:spacing w:lineRule="auto" w:line="276" w:before="120" w:after="120"/>
      <w:jc w:val="both"/>
    </w:pPr>
    <w:rPr>
      <w:rFonts w:ascii="Arial" w:hAnsi="Arial" w:eastAsia="Arial" w:cs="Arial"/>
      <w:color w:val="000000"/>
      <w:sz w:val="20"/>
      <w:szCs w:val="20"/>
    </w:rPr>
  </w:style>
  <w:style w:type="paragraph" w:styleId="Quote">
    <w:name w:val="Quote"/>
    <w:basedOn w:val="Standard"/>
    <w:next w:val="Standard"/>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Arial"/>
      <w:i/>
      <w:iCs/>
      <w:color w:val="000000"/>
      <w:sz w:val="20"/>
      <w:lang w:eastAsia="en-US"/>
    </w:rPr>
  </w:style>
  <w:style w:type="paragraph" w:styleId="Nvel2-Red" w:customStyle="1">
    <w:name w:val="Nível 2 -Red"/>
    <w:basedOn w:val="Nivel2"/>
    <w:qFormat/>
    <w:pPr/>
    <w:rPr>
      <w:i/>
      <w:iCs/>
      <w:color w:val="FF0000"/>
    </w:rPr>
  </w:style>
  <w:style w:type="paragraph" w:styleId="Nivel1" w:customStyle="1">
    <w:name w:val="Nivel1"/>
    <w:basedOn w:val="Heading1"/>
    <w:next w:val="Standard"/>
    <w:qFormat/>
    <w:pPr>
      <w:tabs>
        <w:tab w:val="clear" w:pos="-144"/>
        <w:tab w:val="clear" w:pos="576"/>
        <w:tab w:val="clear" w:pos="1296"/>
        <w:tab w:val="clear" w:pos="2016"/>
        <w:tab w:val="clear" w:pos="2736"/>
        <w:tab w:val="clear" w:pos="3456"/>
        <w:tab w:val="clear" w:pos="4176"/>
        <w:tab w:val="clear" w:pos="4896"/>
        <w:tab w:val="clear" w:pos="5616"/>
        <w:tab w:val="clear" w:pos="6336"/>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pacing w:lineRule="auto" w:line="276" w:before="480" w:after="120"/>
      <w:ind w:hanging="357" w:left="357"/>
      <w:jc w:val="both"/>
    </w:pPr>
    <w:rPr>
      <w:rFonts w:ascii="Arial" w:hAnsi="Arial" w:eastAsia="Arial" w:cs="Arial"/>
      <w:color w:val="000000"/>
      <w:sz w:val="20"/>
      <w:szCs w:val="20"/>
    </w:rPr>
  </w:style>
  <w:style w:type="paragraph" w:styleId="Cabealhoerodap" w:customStyle="1">
    <w:name w:val="Cabeçalho e rodapé"/>
    <w:basedOn w:val="Standard"/>
    <w:qFormat/>
    <w:pPr>
      <w:suppressLineNumbers/>
      <w:tabs>
        <w:tab w:val="clear" w:pos="720"/>
        <w:tab w:val="center" w:pos="4819" w:leader="none"/>
        <w:tab w:val="right" w:pos="9638" w:leader="none"/>
      </w:tabs>
    </w:pPr>
    <w:rPr/>
  </w:style>
  <w:style w:type="paragraph" w:styleId="Header">
    <w:name w:val="header"/>
    <w:basedOn w:val="Cabealhoerodap"/>
    <w:pPr/>
    <w:rPr/>
  </w:style>
  <w:style w:type="paragraph" w:styleId="ListParagraph">
    <w:name w:val="List Paragraph"/>
    <w:basedOn w:val="Standard"/>
    <w:qFormat/>
    <w:pPr/>
    <w:rPr/>
  </w:style>
  <w:style w:type="paragraph" w:styleId="BodyText22" w:customStyle="1">
    <w:name w:val="Body Text 22"/>
    <w:basedOn w:val="Standard"/>
    <w:qFormat/>
    <w:pPr>
      <w:suppressAutoHyphens w:val="false"/>
      <w:jc w:val="both"/>
    </w:pPr>
    <w:rPr/>
  </w:style>
  <w:style w:type="paragraph" w:styleId="Textbodyindent" w:customStyle="1">
    <w:name w:val="Text body indent"/>
    <w:basedOn w:val="Standard"/>
    <w:qFormat/>
    <w:pPr>
      <w:tabs>
        <w:tab w:val="clear" w:pos="720"/>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pPr>
    <w:rPr>
      <w:rFonts w:ascii="Arial" w:hAnsi="Arial" w:eastAsia="Arial" w:cs="Arial"/>
      <w:b/>
      <w:sz w:val="22"/>
    </w:rPr>
  </w:style>
  <w:style w:type="paragraph" w:styleId="Ttulodetabela" w:customStyle="1">
    <w:name w:val="Título de tabela"/>
    <w:basedOn w:val="Contedodatabela"/>
    <w:qFormat/>
    <w:pPr>
      <w:suppressLineNumbers/>
      <w:jc w:val="center"/>
    </w:pPr>
    <w:rPr>
      <w:b/>
      <w:bCs/>
    </w:rPr>
  </w:style>
  <w:style w:type="paragraph" w:styleId="Revision">
    <w:name w:val="Revision"/>
    <w:qFormat/>
    <w:pPr>
      <w:widowControl/>
      <w:bidi w:val="0"/>
      <w:spacing w:before="0" w:after="0"/>
      <w:jc w:val="left"/>
      <w:textAlignment w:val="auto"/>
    </w:pPr>
    <w:rPr>
      <w:rFonts w:ascii="Liberation Serif" w:hAnsi="Liberation Serif" w:eastAsia="SimSun" w:cs="Mangal"/>
      <w:color w:val="auto"/>
      <w:kern w:val="2"/>
      <w:sz w:val="24"/>
      <w:szCs w:val="21"/>
      <w:lang w:val="pt-BR" w:eastAsia="zh-CN" w:bidi="hi-IN"/>
    </w:rPr>
  </w:style>
  <w:style w:type="paragraph" w:styleId="CommentText">
    <w:name w:val="annotation text"/>
    <w:basedOn w:val="Normal"/>
    <w:pPr/>
    <w:rPr>
      <w:sz w:val="20"/>
      <w:szCs w:val="18"/>
    </w:rPr>
  </w:style>
  <w:style w:type="paragraph" w:styleId="annotationsubject">
    <w:name w:val="annotation subject"/>
    <w:basedOn w:val="CommentText"/>
    <w:next w:val="CommentText"/>
    <w:qFormat/>
    <w:pPr/>
    <w:rPr>
      <w:b/>
      <w:bCs/>
    </w:rPr>
  </w:style>
  <w:style w:type="paragraph" w:styleId="BalloonText">
    <w:name w:val="Balloon Text"/>
    <w:basedOn w:val="Normal"/>
    <w:qFormat/>
    <w:pPr/>
    <w:rPr>
      <w:rFonts w:ascii="Segoe UI" w:hAnsi="Segoe UI"/>
      <w:sz w:val="18"/>
      <w:szCs w:val="16"/>
    </w:rPr>
  </w:style>
  <w:style w:type="paragraph" w:styleId="NAT1" w:customStyle="1">
    <w:name w:val="_NAT 1"/>
    <w:basedOn w:val="Heading1"/>
    <w:next w:val="Normal"/>
    <w:autoRedefine/>
    <w:qFormat/>
    <w:pPr>
      <w:keepNext w:val="false"/>
      <w:widowControl/>
      <w:tabs>
        <w:tab w:val="clear" w:pos="-144"/>
        <w:tab w:val="clear" w:pos="576"/>
        <w:tab w:val="clear" w:pos="1296"/>
        <w:tab w:val="clear" w:pos="2016"/>
        <w:tab w:val="clear" w:pos="2736"/>
        <w:tab w:val="clear" w:pos="3456"/>
        <w:tab w:val="clear" w:pos="4176"/>
        <w:tab w:val="clear" w:pos="4896"/>
        <w:tab w:val="clear" w:pos="5616"/>
        <w:tab w:val="clear" w:pos="6336"/>
      </w:tabs>
      <w:suppressAutoHyphens w:val="false"/>
      <w:spacing w:lineRule="auto" w:line="276"/>
      <w:jc w:val="both"/>
      <w:textAlignment w:val="auto"/>
    </w:pPr>
    <w:rPr>
      <w:rFonts w:ascii="Times" w:hAnsi="Times" w:eastAsia="Calibri" w:cs="Times New Roman"/>
      <w:kern w:val="0"/>
      <w:sz w:val="24"/>
      <w:szCs w:val="22"/>
      <w:lang w:eastAsia="en-US" w:bidi="ar-SA"/>
    </w:rPr>
  </w:style>
  <w:style w:type="paragraph" w:styleId="NAT2" w:customStyle="1">
    <w:name w:val="_NAT 2"/>
    <w:basedOn w:val="Normal"/>
    <w:next w:val="Normal"/>
    <w:qFormat/>
    <w:pPr>
      <w:widowControl/>
      <w:suppressAutoHyphens w:val="false"/>
      <w:spacing w:lineRule="auto" w:line="360"/>
      <w:jc w:val="both"/>
      <w:textAlignment w:val="auto"/>
    </w:pPr>
    <w:rPr>
      <w:rFonts w:ascii="Times" w:hAnsi="Times" w:eastAsia="MS Gothic" w:cs="Times New Roman"/>
      <w:kern w:val="0"/>
      <w:szCs w:val="20"/>
      <w:lang w:eastAsia="pt-BR" w:bidi="ar-SA"/>
    </w:rPr>
  </w:style>
  <w:style w:type="paragraph" w:styleId="NAT3" w:customStyle="1">
    <w:name w:val="_NAT 3"/>
    <w:basedOn w:val="Normal"/>
    <w:next w:val="Normal"/>
    <w:qFormat/>
    <w:pPr>
      <w:widowControl/>
      <w:suppressAutoHyphens w:val="false"/>
      <w:spacing w:lineRule="auto" w:line="360"/>
      <w:jc w:val="both"/>
      <w:textAlignment w:val="auto"/>
    </w:pPr>
    <w:rPr>
      <w:rFonts w:ascii="Times" w:hAnsi="Times" w:eastAsia="MS Gothic" w:cs="Times New Roman"/>
      <w:kern w:val="0"/>
      <w:szCs w:val="20"/>
      <w:lang w:eastAsia="pt-BR" w:bidi="ar-SA"/>
    </w:rPr>
  </w:style>
  <w:style w:type="paragraph" w:styleId="NAT4" w:customStyle="1">
    <w:name w:val="_NAT 4"/>
    <w:basedOn w:val="Normal"/>
    <w:next w:val="Normal"/>
    <w:qFormat/>
    <w:pPr>
      <w:widowControl/>
      <w:suppressAutoHyphens w:val="false"/>
      <w:spacing w:lineRule="auto" w:line="360"/>
      <w:jc w:val="both"/>
      <w:textAlignment w:val="auto"/>
    </w:pPr>
    <w:rPr>
      <w:rFonts w:ascii="Times" w:hAnsi="Times" w:eastAsia="MS Gothic" w:cs="Times New Roman"/>
      <w:kern w:val="0"/>
      <w:szCs w:val="20"/>
      <w:lang w:eastAsia="pt-BR" w:bidi="ar-SA"/>
    </w:rPr>
  </w:style>
  <w:style w:type="paragraph" w:styleId="NAT5" w:customStyle="1">
    <w:name w:val="_NAT 5"/>
    <w:basedOn w:val="NAT4"/>
    <w:qFormat/>
    <w:pPr>
      <w:numPr>
        <w:ilvl w:val="0"/>
        <w:numId w:val="4"/>
      </w:numPr>
    </w:pPr>
    <w:rPr/>
  </w:style>
  <w:style w:type="numbering" w:styleId="Semlista" w:default="1">
    <w:name w:val="Sem lista"/>
    <w:uiPriority w:val="99"/>
    <w:semiHidden/>
    <w:unhideWhenUsed/>
    <w:qFormat/>
  </w:style>
  <w:style w:type="numbering" w:styleId="WW8Num8" w:customStyle="1">
    <w:name w:val="WW8Num8"/>
    <w:qFormat/>
  </w:style>
  <w:style w:type="numbering" w:styleId="WW8Num2" w:customStyle="1">
    <w:name w:val="WW8Num2"/>
    <w:qFormat/>
  </w:style>
  <w:style w:type="numbering" w:styleId="LFO10" w:customStyle="1">
    <w:name w:val="LFO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495</TotalTime>
  <Application>LibreOffice/24.8.3.2$Windows_X86_64 LibreOffice_project/bb3cfa12c7b1bf994ecc5649a80400d06cd71002</Application>
  <AppVersion>15.0000</AppVersion>
  <Pages>40</Pages>
  <Words>13535</Words>
  <Characters>79278</Characters>
  <CharactersWithSpaces>92803</CharactersWithSpaces>
  <Paragraphs>595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2025-09-04T12:52:00Z</dcterms:created>
  <dc:creator>William Gates</dc:creator>
  <dc:description/>
  <dc:language>pt-BR</dc:language>
  <cp:lastModifiedBy/>
  <cp:lastPrinted>2024-07-10T09:41:00Z</cp:lastPrinted>
  <dcterms:modified xsi:type="dcterms:W3CDTF">2026-04-07T10:50:27Z</dcterms:modified>
  <cp:revision>40</cp:revision>
  <dc:subject/>
  <dc:title>EDITAL DE TOMADA DE PREÇOS NO ____/97</dc:title>
</cp:coreProperties>
</file>

<file path=docProps/custom.xml><?xml version="1.0" encoding="utf-8"?>
<Properties xmlns="http://schemas.openxmlformats.org/officeDocument/2006/custom-properties" xmlns:vt="http://schemas.openxmlformats.org/officeDocument/2006/docPropsVTypes"/>
</file>